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D4" w:rsidRDefault="00967AD4" w:rsidP="00967AD4">
      <w:pPr>
        <w:jc w:val="both"/>
        <w:rPr>
          <w:rFonts w:ascii="Calibri" w:hAnsi="Calibri" w:cs="Arial"/>
          <w:sz w:val="22"/>
          <w:szCs w:val="22"/>
          <w:lang w:val="sk-SK"/>
        </w:rPr>
      </w:pPr>
      <w:r>
        <w:rPr>
          <w:rFonts w:ascii="Calibri" w:hAnsi="Calibri" w:cs="Arial"/>
          <w:sz w:val="22"/>
          <w:szCs w:val="22"/>
          <w:lang w:val="sk-SK"/>
        </w:rPr>
        <w:t>Podľa článku 10 Pokrajinského parlamentného uznesenia o pridelení rozpočtových prostriedkov na financovanie a spolufinancovanie programových aktivít a projektov v oblasti základného a stredného vzdelávania a výchovy a žiackeho štandardu v Autonómnej pokrajine Vojvodine (Úradný vestník APV číslo 14/15) a článku 15 a 16 odsek 2 Pokrajinského parlamentného uznesenia o pokrajinskej správe (Úradný vestník APV číslo 37/14 a 54/14 – iné uznesenie) a v súvislosti s článkom 36 odsek 1 bod 9 Zákona o určení príslušností Autonómnej pokrajiny Vojvodiny (vestník Službeni glasnik RS číslo 99/09 a 67/12 – ÚS RS) pokrajinský tajomník pre vzdelávanie, predpisy, správu a národnostné menšiny – národnostné spoločenstvá vynáša</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sz w:val="22"/>
          <w:szCs w:val="22"/>
          <w:lang w:val="sk-SK"/>
        </w:rPr>
      </w:pPr>
      <w:r>
        <w:rPr>
          <w:rFonts w:ascii="Calibri" w:hAnsi="Calibri" w:cs="Arial"/>
          <w:sz w:val="22"/>
          <w:szCs w:val="22"/>
          <w:lang w:val="sk-SK"/>
        </w:rPr>
        <w:t>PRAVIDLÁ</w:t>
      </w:r>
    </w:p>
    <w:p w:rsidR="00967AD4" w:rsidRDefault="00967AD4" w:rsidP="00967AD4">
      <w:pPr>
        <w:jc w:val="center"/>
        <w:rPr>
          <w:rFonts w:ascii="Calibri" w:hAnsi="Calibri" w:cs="Arial"/>
          <w:sz w:val="22"/>
          <w:szCs w:val="22"/>
          <w:lang w:val="sk-SK"/>
        </w:rPr>
      </w:pPr>
      <w:r>
        <w:rPr>
          <w:rFonts w:ascii="Calibri" w:hAnsi="Calibri" w:cs="Arial"/>
          <w:sz w:val="22"/>
          <w:szCs w:val="22"/>
          <w:lang w:val="sk-SK"/>
        </w:rPr>
        <w:t>O PODMIENKACH SUBVENCOVANIA PREPRAVY ŽIAKOV STREDNÝCH ŠKÔL</w:t>
      </w:r>
    </w:p>
    <w:p w:rsidR="00967AD4" w:rsidRDefault="00967AD4" w:rsidP="00967AD4">
      <w:pPr>
        <w:jc w:val="center"/>
        <w:rPr>
          <w:rFonts w:ascii="Calibri" w:hAnsi="Calibri" w:cs="Arial"/>
          <w:b/>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1</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Týmito pravidlami sa upravuje spôsob, podmienky a kritériá rozvrhovania rozpočtových prostriedkov Pokrajinského sekretariátu pre vzdelávanie, predpisy, správu a národnostné menšiny – národnostné spoločenstvá (ďalej: pokrajinský sekretariát) obciam a mestám na území Autonómnej pokrajiny Vojvodiny na subvencovanie prepravy žiakov stredných škôl v medzimestskej doprave v Autonómnej pokrajine Vojvodiny.</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2</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Medzimestská doprava v zmysle týchto pravidiel je medzimiestna, prímestská a lokálna doprava.</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Medzimestská, resp. medzimiestna preprava v zmysle týchto pravidiel je preprava žiakov stredných škôl medzi sídlami dvoch obcí, resp. miest.</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Prímestská, resp. lokálna preprava v zmysle týchto pravidiel je preprava žiakov stredných škôl medzi dvoma sídlami na území obce, resp. mesta.</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3</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Prostriedky na účel z článku 1 týchto pravidiel sa prideľujú užívateľom v súlade s jestvujúcimi prostriedkami v rozpočte Autonómnej pokrajiny Vojvodiny, zabezpečenými na osobitnom oddiele Pokrajinského sekretariátu.</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4</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V zmysle týchto pravidiel účastníci, ktorí majú právo zúčastniť sa v rozvrhovaní prostriedkov, sú obce a mestá na území Autonómnej pokrajiny Vojvodiny.</w:t>
      </w:r>
    </w:p>
    <w:p w:rsidR="00967AD4" w:rsidRDefault="00967AD4" w:rsidP="00967AD4">
      <w:pPr>
        <w:jc w:val="both"/>
        <w:rPr>
          <w:rFonts w:ascii="Calibri" w:hAnsi="Calibri" w:cs="Arial"/>
          <w:sz w:val="22"/>
          <w:szCs w:val="22"/>
          <w:lang w:val="sk-SK"/>
        </w:rPr>
      </w:pPr>
      <w:r>
        <w:rPr>
          <w:rFonts w:ascii="Calibri" w:hAnsi="Calibri" w:cs="Arial"/>
          <w:sz w:val="22"/>
          <w:szCs w:val="22"/>
          <w:lang w:val="sk-SK"/>
        </w:rPr>
        <w:br w:type="page"/>
      </w: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lastRenderedPageBreak/>
        <w:t>Článok 5</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Prostriedky sa prideľujú na financovanie, resp.  spolufinancovanie prepravy žiakov stredných škôl v medzimestskej doprave, ktorí každodenne cestujú od miesta pobytu do školy.</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6</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 xml:space="preserve">Prostriedky sa rozvrhujú súbehom (ďalej: súbeh), ktorý sa vypisuje v súlade s finančným plánom pokrajinského sekretariátu a uznesením o rozpočte Autonómnej pokrajiny Vojvodiny. </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Pokrajinský tajomník môže časť prostriedkov prideliť užívateľom bez uverejnenia súbehu, pri výnimočných, nepredvídaných situáciách, v súlade s  uznesením o rozpočte Autonómnej pokrajiny Vojvodiny.</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7</w:t>
      </w:r>
    </w:p>
    <w:p w:rsidR="00967AD4" w:rsidRDefault="00967AD4" w:rsidP="00967AD4">
      <w:pPr>
        <w:jc w:val="center"/>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Prihláška na súbeh sa odovzdáva v písomnej podobe sekretariátu na jedinečnom tlačive, ktoré sa zverejňuje na webovej stránke pokrajinského sekretariátu a ktoré obsahuje krátky opis účelu, počet žiakov – cestujúcich v medzimestskej doprave, celkovú hodnotu subvencovania prepravy, sumu žiadaných prostriedkov od pokrajinského sekretariátu ako aj sumu z iných zdrojov financovania.</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Pokrajinský sekretariát predpíše súbehom dokumentáciu, ktorá sa podáva spolu s prihláškou na súbeh.</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8</w:t>
      </w:r>
    </w:p>
    <w:p w:rsidR="00967AD4" w:rsidRDefault="00967AD4" w:rsidP="00967AD4">
      <w:pPr>
        <w:jc w:val="center"/>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Pokrajinský tajomník poverený úkonami vzdelávania (ďalej: pokrajinský tajomník) zriaďuje komisiu na uskutočnenie súbehu na subvencovanie prepravy žiakov stredných škôl v AP Vojvodine (ďalej: komisia).</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Komisia rozoberá podané prihlášky na súbeh.</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Komisia zisťuje splnenie predpísaných podmienok súbehu.</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Po rozobraní podaných prihlášok na súbeh komisia zostaví zdôvodnený návrh na pridelenie prostriedkov a doručuje ho pokrajinskému tajomníkovi.</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9</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Pokrajinský tajomník rozoberá návrh komisie a rozhoduje o rozdelení prostriedkov užívateľom rozhodnutím.</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Rozhodnutie z odseku 1 tohto článku je konečné.</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Rozhodnutie z odseku 1 tohto článku spolu s tabuľkou, ktorá obsahuje údaje o pridelení prostriedkov sa uverejňuje na webovej stránke pokrajinského sekretariátu.</w:t>
      </w:r>
    </w:p>
    <w:p w:rsidR="00967AD4" w:rsidRDefault="00967AD4" w:rsidP="00967AD4">
      <w:pPr>
        <w:jc w:val="both"/>
        <w:rPr>
          <w:rFonts w:ascii="Calibri" w:hAnsi="Calibri" w:cs="Arial"/>
          <w:sz w:val="22"/>
          <w:szCs w:val="22"/>
          <w:lang w:val="sk-SK"/>
        </w:rPr>
      </w:pPr>
      <w:r>
        <w:rPr>
          <w:rFonts w:ascii="Calibri" w:hAnsi="Calibri" w:cs="Arial"/>
          <w:sz w:val="22"/>
          <w:szCs w:val="22"/>
          <w:lang w:val="sk-SK"/>
        </w:rPr>
        <w:t xml:space="preserve">Pokrajinský sekretariát, ak posúdi, že je to nevyhnutné, o výsledkoch súbehu aj písomne oboznámi podávateľov prihláškok. </w:t>
      </w:r>
    </w:p>
    <w:p w:rsidR="00967AD4" w:rsidRDefault="00967AD4" w:rsidP="00967AD4">
      <w:pPr>
        <w:jc w:val="center"/>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10</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lastRenderedPageBreak/>
        <w:t>Výška prostriedkov na účely z článku 5 tohto uznesenia sa určuje na základe nasledujúcich kritérií:</w:t>
      </w:r>
    </w:p>
    <w:p w:rsidR="00967AD4" w:rsidRDefault="00967AD4" w:rsidP="00967AD4">
      <w:pPr>
        <w:jc w:val="both"/>
        <w:rPr>
          <w:rFonts w:ascii="Calibri" w:hAnsi="Calibri" w:cs="Arial"/>
          <w:sz w:val="22"/>
          <w:szCs w:val="22"/>
          <w:lang w:val="sk-SK"/>
        </w:rPr>
      </w:pPr>
    </w:p>
    <w:p w:rsidR="00967AD4" w:rsidRDefault="00967AD4" w:rsidP="00967AD4">
      <w:pPr>
        <w:numPr>
          <w:ilvl w:val="0"/>
          <w:numId w:val="1"/>
        </w:numPr>
        <w:jc w:val="both"/>
        <w:rPr>
          <w:rFonts w:ascii="Calibri" w:hAnsi="Calibri" w:cs="Arial"/>
          <w:sz w:val="22"/>
          <w:szCs w:val="22"/>
          <w:lang w:val="sk-SK"/>
        </w:rPr>
      </w:pPr>
      <w:r>
        <w:rPr>
          <w:rFonts w:ascii="Calibri" w:hAnsi="Calibri" w:cs="Arial"/>
          <w:sz w:val="22"/>
          <w:szCs w:val="22"/>
          <w:lang w:val="sk-SK"/>
        </w:rPr>
        <w:t>počet žiakov stredných škôl z územia obce alebo mesta, ktorí každodenne cestujú od miesta pobytu do školy a</w:t>
      </w:r>
    </w:p>
    <w:p w:rsidR="00967AD4" w:rsidRDefault="00967AD4" w:rsidP="00967AD4">
      <w:pPr>
        <w:ind w:left="360"/>
        <w:jc w:val="both"/>
        <w:rPr>
          <w:rFonts w:ascii="Calibri" w:hAnsi="Calibri" w:cs="Arial"/>
          <w:sz w:val="22"/>
          <w:szCs w:val="22"/>
          <w:lang w:val="sk-SK"/>
        </w:rPr>
      </w:pPr>
    </w:p>
    <w:p w:rsidR="00967AD4" w:rsidRDefault="00967AD4" w:rsidP="00967AD4">
      <w:pPr>
        <w:numPr>
          <w:ilvl w:val="0"/>
          <w:numId w:val="1"/>
        </w:numPr>
        <w:jc w:val="both"/>
        <w:rPr>
          <w:rFonts w:ascii="Calibri" w:hAnsi="Calibri" w:cs="Arial"/>
          <w:sz w:val="22"/>
          <w:szCs w:val="22"/>
          <w:lang w:val="sk-SK"/>
        </w:rPr>
      </w:pPr>
      <w:r>
        <w:rPr>
          <w:rFonts w:ascii="Calibri" w:hAnsi="Calibri" w:cs="Arial"/>
          <w:sz w:val="22"/>
          <w:szCs w:val="22"/>
          <w:lang w:val="sk-SK"/>
        </w:rPr>
        <w:t>stupeň vyvinutosti obce alebo mesta v Autonómnej pokrajine Vojvodine, určený aktom vlády Srbskej republiky.</w:t>
      </w:r>
    </w:p>
    <w:p w:rsidR="00967AD4" w:rsidRDefault="00967AD4" w:rsidP="00967AD4">
      <w:pPr>
        <w:pStyle w:val="ListParagrap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11</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 xml:space="preserve">Prostriedky sa rozvrhujú užívateľom z článku 4 týchto pravidiel na základe percentuálnej účasti počtu počítaných žiakov-cestujúcich stredných škôl po obciach a mestách v celkovom počte počítaných žiakov-cestujúcich v AP Vojvodiny. Počet počítaných žiakov-cestujúcich stredných škôl v každej obci a meste sa určuje uplatnením korektívnych koeficientov </w:t>
      </w:r>
      <w:r>
        <w:rPr>
          <w:rFonts w:ascii="Calibri" w:hAnsi="Calibri" w:cs="Arial"/>
          <w:b/>
          <w:sz w:val="22"/>
          <w:szCs w:val="22"/>
          <w:lang w:val="sk-SK"/>
        </w:rPr>
        <w:t xml:space="preserve">od 1,00 do 2,00 </w:t>
      </w:r>
      <w:r>
        <w:rPr>
          <w:rFonts w:ascii="Calibri" w:hAnsi="Calibri" w:cs="Arial"/>
          <w:sz w:val="22"/>
          <w:szCs w:val="22"/>
          <w:lang w:val="sk-SK"/>
        </w:rPr>
        <w:t>na skutočný počet žiakov-cestujúcich stredných škôl v medzimestskej preprave v AP Vojvodine v školskom roku, ktoré doručujú užívatelia spolu s prihláškou na súbeh na pridelenie prostriedkov na subvencovanie prepravy. Korektívne koeficienty pre obce a mestá sa určujú po skupinách v závislosti od stupňa vyvinutosti obce a mesta z územia AP Vojvodiny vzhľadom na republikový priemer, a v súlade s aktom vlády Srbskej republiky.</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 xml:space="preserve">          Podľa stupňa vyvinutosti užívatelia sú zaradení do štyroch skupín:</w:t>
      </w:r>
    </w:p>
    <w:p w:rsidR="00967AD4" w:rsidRDefault="00967AD4" w:rsidP="00967AD4">
      <w:pPr>
        <w:jc w:val="both"/>
        <w:rPr>
          <w:rFonts w:ascii="Calibri" w:hAnsi="Calibri" w:cs="Arial"/>
          <w:sz w:val="22"/>
          <w:szCs w:val="22"/>
          <w:lang w:val="sk-SK"/>
        </w:rPr>
      </w:pPr>
    </w:p>
    <w:p w:rsidR="00967AD4" w:rsidRDefault="00967AD4" w:rsidP="00967AD4">
      <w:pPr>
        <w:numPr>
          <w:ilvl w:val="0"/>
          <w:numId w:val="2"/>
        </w:numPr>
        <w:jc w:val="both"/>
        <w:rPr>
          <w:rFonts w:ascii="Calibri" w:hAnsi="Calibri" w:cs="Arial"/>
          <w:sz w:val="22"/>
          <w:szCs w:val="22"/>
          <w:lang w:val="sk-SK"/>
        </w:rPr>
      </w:pPr>
      <w:r>
        <w:rPr>
          <w:rFonts w:ascii="Calibri" w:hAnsi="Calibri" w:cs="Arial"/>
          <w:sz w:val="22"/>
          <w:szCs w:val="22"/>
          <w:lang w:val="sk-SK"/>
        </w:rPr>
        <w:t>I. skupina – jednotky lokálnej samosprávy, ktorých stupeň vyvinutosti je nad republikový priemer,</w:t>
      </w:r>
    </w:p>
    <w:p w:rsidR="00967AD4" w:rsidRDefault="00967AD4" w:rsidP="00967AD4">
      <w:pPr>
        <w:numPr>
          <w:ilvl w:val="0"/>
          <w:numId w:val="2"/>
        </w:numPr>
        <w:jc w:val="both"/>
        <w:rPr>
          <w:rFonts w:ascii="Calibri" w:hAnsi="Calibri" w:cs="Arial"/>
          <w:sz w:val="22"/>
          <w:szCs w:val="22"/>
          <w:lang w:val="sk-SK"/>
        </w:rPr>
      </w:pPr>
      <w:r>
        <w:rPr>
          <w:rFonts w:ascii="Calibri" w:hAnsi="Calibri" w:cs="Arial"/>
          <w:sz w:val="22"/>
          <w:szCs w:val="22"/>
          <w:lang w:val="sk-SK"/>
        </w:rPr>
        <w:t>II. skupina – jednotky lokálnej samosprávy, ktorých stupeň vyvinutosti je od 80% do 100% republikového priemeru,</w:t>
      </w:r>
    </w:p>
    <w:p w:rsidR="00967AD4" w:rsidRDefault="00967AD4" w:rsidP="00967AD4">
      <w:pPr>
        <w:numPr>
          <w:ilvl w:val="0"/>
          <w:numId w:val="2"/>
        </w:numPr>
        <w:jc w:val="both"/>
        <w:rPr>
          <w:rFonts w:ascii="Calibri" w:hAnsi="Calibri" w:cs="Arial"/>
          <w:sz w:val="22"/>
          <w:szCs w:val="22"/>
          <w:lang w:val="sk-SK"/>
        </w:rPr>
      </w:pPr>
      <w:r>
        <w:rPr>
          <w:rFonts w:ascii="Calibri" w:hAnsi="Calibri" w:cs="Arial"/>
          <w:sz w:val="22"/>
          <w:szCs w:val="22"/>
          <w:lang w:val="sk-SK"/>
        </w:rPr>
        <w:t xml:space="preserve">III. skupina - jednotky lokálnej samosprávy, ktorých stupeň vyvinutosti je od 60% do 80% republikového priemeru a </w:t>
      </w:r>
    </w:p>
    <w:p w:rsidR="00967AD4" w:rsidRDefault="00967AD4" w:rsidP="00967AD4">
      <w:pPr>
        <w:numPr>
          <w:ilvl w:val="0"/>
          <w:numId w:val="2"/>
        </w:numPr>
        <w:jc w:val="both"/>
        <w:rPr>
          <w:rFonts w:ascii="Calibri" w:hAnsi="Calibri" w:cs="Arial"/>
          <w:sz w:val="22"/>
          <w:szCs w:val="22"/>
          <w:lang w:val="sk-SK"/>
        </w:rPr>
      </w:pPr>
      <w:r>
        <w:rPr>
          <w:rFonts w:ascii="Calibri" w:hAnsi="Calibri" w:cs="Arial"/>
          <w:sz w:val="22"/>
          <w:szCs w:val="22"/>
          <w:lang w:val="sk-SK"/>
        </w:rPr>
        <w:t>IV. skupina - jednotky lokálnej samosprávy, ktorých stupeň vyvinutosti je pod 60% republikového priemeru.</w:t>
      </w:r>
    </w:p>
    <w:p w:rsidR="00967AD4" w:rsidRDefault="00967AD4" w:rsidP="00967AD4">
      <w:pPr>
        <w:ind w:left="720"/>
        <w:jc w:val="both"/>
        <w:rPr>
          <w:rFonts w:ascii="Calibri" w:hAnsi="Calibri" w:cs="Arial"/>
          <w:sz w:val="22"/>
          <w:szCs w:val="22"/>
          <w:lang w:val="sk-SK"/>
        </w:rPr>
      </w:pPr>
    </w:p>
    <w:p w:rsidR="00967AD4" w:rsidRDefault="00967AD4" w:rsidP="00967AD4">
      <w:pPr>
        <w:ind w:left="720" w:hanging="720"/>
        <w:jc w:val="both"/>
        <w:rPr>
          <w:rFonts w:ascii="Calibri" w:hAnsi="Calibri" w:cs="Arial"/>
          <w:sz w:val="22"/>
          <w:szCs w:val="22"/>
          <w:lang w:val="sk-SK"/>
        </w:rPr>
      </w:pPr>
      <w:r>
        <w:rPr>
          <w:rFonts w:ascii="Calibri" w:hAnsi="Calibri" w:cs="Arial"/>
          <w:sz w:val="22"/>
          <w:szCs w:val="22"/>
          <w:lang w:val="sk-SK"/>
        </w:rPr>
        <w:t xml:space="preserve">    Korektívne koeficienty sa určujú pre:</w:t>
      </w:r>
    </w:p>
    <w:p w:rsidR="00967AD4" w:rsidRDefault="00967AD4" w:rsidP="00967AD4">
      <w:pPr>
        <w:numPr>
          <w:ilvl w:val="0"/>
          <w:numId w:val="2"/>
        </w:numPr>
        <w:jc w:val="both"/>
        <w:rPr>
          <w:rFonts w:ascii="Calibri" w:hAnsi="Calibri" w:cs="Arial"/>
          <w:sz w:val="22"/>
          <w:szCs w:val="22"/>
          <w:lang w:val="sk-SK"/>
        </w:rPr>
      </w:pPr>
      <w:r>
        <w:rPr>
          <w:rFonts w:ascii="Calibri" w:hAnsi="Calibri" w:cs="Arial"/>
          <w:sz w:val="22"/>
          <w:szCs w:val="22"/>
          <w:lang w:val="sk-SK"/>
        </w:rPr>
        <w:t>II. skupinu jednotiek lokálnej samosprávy v hodnote – 1,25,</w:t>
      </w:r>
    </w:p>
    <w:p w:rsidR="00967AD4" w:rsidRDefault="00967AD4" w:rsidP="00967AD4">
      <w:pPr>
        <w:numPr>
          <w:ilvl w:val="0"/>
          <w:numId w:val="2"/>
        </w:numPr>
        <w:jc w:val="both"/>
        <w:rPr>
          <w:rFonts w:ascii="Calibri" w:hAnsi="Calibri" w:cs="Arial"/>
          <w:sz w:val="22"/>
          <w:szCs w:val="22"/>
          <w:lang w:val="sk-SK"/>
        </w:rPr>
      </w:pPr>
      <w:r>
        <w:rPr>
          <w:rFonts w:ascii="Calibri" w:hAnsi="Calibri" w:cs="Arial"/>
          <w:sz w:val="22"/>
          <w:szCs w:val="22"/>
          <w:lang w:val="sk-SK"/>
        </w:rPr>
        <w:t>III. skupinu jednotiek lokálnej samosprávy v hodnote – 1,50 a</w:t>
      </w:r>
    </w:p>
    <w:p w:rsidR="00967AD4" w:rsidRDefault="00967AD4" w:rsidP="00967AD4">
      <w:pPr>
        <w:numPr>
          <w:ilvl w:val="0"/>
          <w:numId w:val="2"/>
        </w:numPr>
        <w:jc w:val="both"/>
        <w:rPr>
          <w:rFonts w:ascii="Calibri" w:hAnsi="Calibri" w:cs="Arial"/>
          <w:sz w:val="22"/>
          <w:szCs w:val="22"/>
          <w:lang w:val="sk-SK"/>
        </w:rPr>
      </w:pPr>
      <w:r>
        <w:rPr>
          <w:rFonts w:ascii="Calibri" w:hAnsi="Calibri" w:cs="Arial"/>
          <w:sz w:val="22"/>
          <w:szCs w:val="22"/>
          <w:lang w:val="sk-SK"/>
        </w:rPr>
        <w:t>IV. skupinu jednotiek lokálnej samosprávy v hodnote – 2,00.</w:t>
      </w:r>
    </w:p>
    <w:p w:rsidR="00967AD4" w:rsidRDefault="00967AD4" w:rsidP="00967AD4">
      <w:pPr>
        <w:ind w:left="720"/>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Pre I. skupinu jednotiek lokálnej samosprávy, ktorých stupeň vyvynutosti je nad republikový priemer sa neurčuje korektívny koeficient.</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Korektívne koeficienty pre užívateľov sa určujú každý rok v súlade s aktom vlády Srbskej republiky.</w:t>
      </w:r>
    </w:p>
    <w:p w:rsidR="00967AD4" w:rsidRDefault="00967AD4" w:rsidP="00967AD4">
      <w:pPr>
        <w:ind w:left="720" w:hanging="720"/>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12</w:t>
      </w:r>
    </w:p>
    <w:p w:rsidR="00967AD4" w:rsidRDefault="00967AD4" w:rsidP="00967AD4">
      <w:pPr>
        <w:jc w:val="both"/>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 xml:space="preserve">Rozvrhnuté prostriedky na užívateľov na základe kritérií z článku 11 týchto pravidiel sa porovnávajú so žiadanými prostriedkami na základe súbehu. Užívateľom, ktorých žiadaná suma je väčšia od sumy, ktorá sa získa na základe kritérií, prideľuje sa suma získaná na základe kritérií, a užívateľom, ktorých žiadaná suma je menšia od sumy, ktorá sa získa na základe kritérií, sa prideľuje žiadaná suma. Prostriedky, ktoré takto zostanú voľné a nevyužité sa znova rozvrhnú, ale iba tým užívateľom, ktorých žiadosti prevyšovali pridelené prostriedky. Jednému užívateľovi sa môžu prideliť prostriedky maximálne po výšku žiadanej sumy. </w:t>
      </w:r>
    </w:p>
    <w:p w:rsidR="00967AD4" w:rsidRDefault="00967AD4" w:rsidP="00967AD4">
      <w:pPr>
        <w:jc w:val="center"/>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lastRenderedPageBreak/>
        <w:t>Článok 13</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Povinnosť pridelenia prostriedkov pokrajinský sekretariát preberá zmluvou v zmysle zákona, ktorým sa upravuje rozpočtový systém.</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14</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Užívateľ je povinný prostriedky používať účelovo a zákonne a nestrovené prostriedky vrátiť do rozpočtu AP Vojvodiny.</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 xml:space="preserve"> Užívateľ je povinný odovzdať správu o užívaní prostriedkov najneskôr 15 (pätnásť) dní po určenej lehote na realizáciu účelu, pre ktorý boli prostriedky pridelené spolu so zodpovedajúcou dokumentáciou, overenou zodpovednými osobami.</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Užívateľ je povinný pridelené prostriedky vrátiť do rozpočtu AP Vojvodiny, ak sa zistí, že sa prostriedky nevyužili na realizáciu účelu, na ktorý boli pridelené.</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Ak užívateľ nedoručí správu z odseku 2 tohto článku, stráca právo uchádzať sa o prostriedky s novými programami, resp. projektmi.</w:t>
      </w: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V prípade pochybnosti, že sa pridelené prostriedky v jednotlivých prípadoch neúčelovo použili, pokrajinský sekretariát začne konanie pred pokrajinským orgánom správy pre rozpočtovú inšpekciu na kontrolu zákonného a účelového používania prostriedkov.</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b/>
          <w:sz w:val="22"/>
          <w:szCs w:val="22"/>
          <w:lang w:val="sk-SK"/>
        </w:rPr>
      </w:pPr>
      <w:r>
        <w:rPr>
          <w:rFonts w:ascii="Calibri" w:hAnsi="Calibri" w:cs="Arial"/>
          <w:b/>
          <w:sz w:val="22"/>
          <w:szCs w:val="22"/>
          <w:lang w:val="sk-SK"/>
        </w:rPr>
        <w:t>Článok 15</w:t>
      </w:r>
    </w:p>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r>
        <w:rPr>
          <w:rFonts w:ascii="Calibri" w:hAnsi="Calibri" w:cs="Arial"/>
          <w:sz w:val="22"/>
          <w:szCs w:val="22"/>
          <w:lang w:val="sk-SK"/>
        </w:rPr>
        <w:t>Tieto pravidlá nadobúdajú účinnosť  dňom uverejnenia Úradným vestníkom Autonómnej pokrajiny Vojvodiny a zverejnia sa na oficiálnej webovej stránke Pokrajinského sekretariátu pre vzdelávanie, predpisy, správu a národnostné menšiny – národnostné spoločenstvá.</w:t>
      </w:r>
    </w:p>
    <w:p w:rsidR="00967AD4" w:rsidRDefault="00967AD4" w:rsidP="00967AD4">
      <w:pPr>
        <w:jc w:val="both"/>
        <w:rPr>
          <w:rFonts w:ascii="Calibri" w:hAnsi="Calibri" w:cs="Arial"/>
          <w:sz w:val="22"/>
          <w:szCs w:val="22"/>
          <w:lang w:val="sk-SK"/>
        </w:rPr>
      </w:pPr>
    </w:p>
    <w:p w:rsidR="00967AD4" w:rsidRDefault="00967AD4" w:rsidP="00967AD4">
      <w:pPr>
        <w:jc w:val="center"/>
        <w:rPr>
          <w:rFonts w:ascii="Calibri" w:hAnsi="Calibri" w:cs="Arial"/>
          <w:sz w:val="22"/>
          <w:szCs w:val="22"/>
          <w:lang w:val="sk-SK"/>
        </w:rPr>
      </w:pPr>
      <w:r>
        <w:rPr>
          <w:rFonts w:ascii="Calibri" w:hAnsi="Calibri" w:cs="Arial"/>
          <w:sz w:val="22"/>
          <w:szCs w:val="22"/>
          <w:lang w:val="sk-SK"/>
        </w:rPr>
        <w:t>POKRAJINSKÝ SEKRETARIÁT PRE VZDELÁVANIE, PREDPISY, SPRÁVU A NÁRODNOSTNÉ MENŠINY – NÁRODNOSTNÉ SPOLOČENSTVÁ</w:t>
      </w:r>
    </w:p>
    <w:p w:rsidR="00967AD4" w:rsidRDefault="00967AD4" w:rsidP="00967AD4">
      <w:pPr>
        <w:jc w:val="center"/>
        <w:rPr>
          <w:rFonts w:ascii="Calibri" w:hAnsi="Calibri" w:cs="Arial"/>
          <w:sz w:val="22"/>
          <w:szCs w:val="22"/>
          <w:lang w:val="sk-SK"/>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8"/>
        <w:gridCol w:w="4428"/>
      </w:tblGrid>
      <w:tr w:rsidR="00967AD4" w:rsidTr="00967AD4">
        <w:tc>
          <w:tcPr>
            <w:tcW w:w="4428" w:type="dxa"/>
            <w:tcBorders>
              <w:top w:val="single" w:sz="4" w:space="0" w:color="FFFFFF"/>
              <w:left w:val="single" w:sz="4" w:space="0" w:color="FFFFFF"/>
              <w:bottom w:val="single" w:sz="4" w:space="0" w:color="FFFFFF"/>
              <w:right w:val="single" w:sz="4" w:space="0" w:color="FFFFFF"/>
            </w:tcBorders>
            <w:hideMark/>
          </w:tcPr>
          <w:p w:rsidR="00967AD4" w:rsidRDefault="00967AD4">
            <w:pPr>
              <w:rPr>
                <w:rFonts w:ascii="Calibri" w:hAnsi="Calibri" w:cs="Arial"/>
                <w:sz w:val="22"/>
                <w:szCs w:val="22"/>
                <w:lang w:val="sk-SK"/>
              </w:rPr>
            </w:pPr>
            <w:r>
              <w:rPr>
                <w:rFonts w:ascii="Calibri" w:hAnsi="Calibri" w:cs="Arial"/>
                <w:sz w:val="22"/>
                <w:szCs w:val="22"/>
                <w:lang w:val="sk-SK"/>
              </w:rPr>
              <w:t>Číslo: 128-451-2534/2015-04</w:t>
            </w:r>
          </w:p>
          <w:p w:rsidR="00967AD4" w:rsidRDefault="00967AD4">
            <w:pPr>
              <w:rPr>
                <w:rFonts w:ascii="Calibri" w:hAnsi="Calibri" w:cs="Arial"/>
                <w:b/>
                <w:sz w:val="22"/>
                <w:szCs w:val="22"/>
                <w:lang w:val="sk-SK"/>
              </w:rPr>
            </w:pPr>
            <w:r>
              <w:rPr>
                <w:rFonts w:ascii="Calibri" w:hAnsi="Calibri" w:cs="Arial"/>
                <w:sz w:val="22"/>
                <w:szCs w:val="22"/>
                <w:lang w:val="sk-SK"/>
              </w:rPr>
              <w:t>Nový Sad 16. septembra 2015</w:t>
            </w:r>
          </w:p>
        </w:tc>
        <w:tc>
          <w:tcPr>
            <w:tcW w:w="4428" w:type="dxa"/>
            <w:tcBorders>
              <w:top w:val="single" w:sz="4" w:space="0" w:color="FFFFFF"/>
              <w:left w:val="single" w:sz="4" w:space="0" w:color="FFFFFF"/>
              <w:bottom w:val="single" w:sz="4" w:space="0" w:color="FFFFFF"/>
              <w:right w:val="single" w:sz="4" w:space="0" w:color="FFFFFF"/>
            </w:tcBorders>
          </w:tcPr>
          <w:p w:rsidR="00967AD4" w:rsidRDefault="00967AD4">
            <w:pPr>
              <w:jc w:val="center"/>
              <w:rPr>
                <w:rFonts w:ascii="Calibri" w:hAnsi="Calibri" w:cs="Arial"/>
                <w:b/>
                <w:sz w:val="22"/>
                <w:szCs w:val="22"/>
                <w:lang w:val="sk-SK"/>
              </w:rPr>
            </w:pPr>
          </w:p>
        </w:tc>
      </w:tr>
      <w:tr w:rsidR="00967AD4" w:rsidTr="00967AD4">
        <w:tc>
          <w:tcPr>
            <w:tcW w:w="4428" w:type="dxa"/>
            <w:tcBorders>
              <w:top w:val="single" w:sz="4" w:space="0" w:color="FFFFFF"/>
              <w:left w:val="single" w:sz="4" w:space="0" w:color="FFFFFF"/>
              <w:bottom w:val="single" w:sz="4" w:space="0" w:color="FFFFFF"/>
              <w:right w:val="single" w:sz="4" w:space="0" w:color="FFFFFF"/>
            </w:tcBorders>
          </w:tcPr>
          <w:p w:rsidR="00967AD4" w:rsidRDefault="00967AD4">
            <w:pPr>
              <w:jc w:val="center"/>
              <w:rPr>
                <w:rFonts w:ascii="Calibri" w:hAnsi="Calibri" w:cs="Arial"/>
                <w:b/>
                <w:sz w:val="22"/>
                <w:szCs w:val="22"/>
                <w:lang w:val="sk-SK"/>
              </w:rPr>
            </w:pPr>
          </w:p>
        </w:tc>
        <w:tc>
          <w:tcPr>
            <w:tcW w:w="4428" w:type="dxa"/>
            <w:tcBorders>
              <w:top w:val="single" w:sz="4" w:space="0" w:color="FFFFFF"/>
              <w:left w:val="single" w:sz="4" w:space="0" w:color="FFFFFF"/>
              <w:bottom w:val="single" w:sz="4" w:space="0" w:color="FFFFFF"/>
              <w:right w:val="single" w:sz="4" w:space="0" w:color="FFFFFF"/>
            </w:tcBorders>
            <w:hideMark/>
          </w:tcPr>
          <w:p w:rsidR="00967AD4" w:rsidRDefault="00967AD4">
            <w:pPr>
              <w:jc w:val="center"/>
              <w:rPr>
                <w:rFonts w:ascii="Calibri" w:hAnsi="Calibri" w:cs="Arial"/>
                <w:sz w:val="22"/>
                <w:szCs w:val="22"/>
                <w:lang w:val="sk-SK"/>
              </w:rPr>
            </w:pPr>
            <w:r>
              <w:rPr>
                <w:rFonts w:ascii="Calibri" w:hAnsi="Calibri" w:cs="Arial"/>
                <w:sz w:val="22"/>
                <w:szCs w:val="22"/>
                <w:lang w:val="sk-SK"/>
              </w:rPr>
              <w:t>Pokrajinský tajomník</w:t>
            </w:r>
          </w:p>
          <w:p w:rsidR="00967AD4" w:rsidRDefault="00967AD4">
            <w:pPr>
              <w:jc w:val="center"/>
              <w:rPr>
                <w:rFonts w:ascii="Calibri" w:hAnsi="Calibri" w:cs="Arial"/>
                <w:b/>
                <w:sz w:val="22"/>
                <w:szCs w:val="22"/>
                <w:lang w:val="sk-SK"/>
              </w:rPr>
            </w:pPr>
            <w:r>
              <w:rPr>
                <w:rFonts w:ascii="Calibri" w:hAnsi="Calibri" w:cs="Arial"/>
                <w:sz w:val="22"/>
                <w:szCs w:val="22"/>
                <w:lang w:val="sk-SK"/>
              </w:rPr>
              <w:t>Mihály Nyilas v.r.</w:t>
            </w:r>
          </w:p>
        </w:tc>
      </w:tr>
    </w:tbl>
    <w:p w:rsidR="00967AD4" w:rsidRDefault="00967AD4" w:rsidP="00967AD4">
      <w:pPr>
        <w:jc w:val="center"/>
        <w:rPr>
          <w:rFonts w:ascii="Calibri" w:hAnsi="Calibri" w:cs="Arial"/>
          <w:b/>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ind w:left="360"/>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bookmarkStart w:id="0" w:name="_GoBack"/>
      <w:bookmarkEnd w:id="0"/>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967AD4" w:rsidRDefault="00967AD4" w:rsidP="00967AD4">
      <w:pPr>
        <w:jc w:val="both"/>
        <w:rPr>
          <w:rFonts w:ascii="Calibri" w:hAnsi="Calibri" w:cs="Arial"/>
          <w:sz w:val="22"/>
          <w:szCs w:val="22"/>
          <w:lang w:val="sk-SK"/>
        </w:rPr>
      </w:pPr>
    </w:p>
    <w:p w:rsidR="000C1755" w:rsidRPr="00967AD4" w:rsidRDefault="000C1755" w:rsidP="00967AD4">
      <w:pPr>
        <w:jc w:val="both"/>
        <w:rPr>
          <w:rFonts w:ascii="Calibri" w:hAnsi="Calibri" w:cs="Arial"/>
          <w:sz w:val="22"/>
          <w:szCs w:val="22"/>
          <w:lang w:val="sk-SK"/>
        </w:rPr>
      </w:pPr>
    </w:p>
    <w:sectPr w:rsidR="000C1755" w:rsidRPr="00967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E91"/>
    <w:multiLevelType w:val="hybridMultilevel"/>
    <w:tmpl w:val="C872440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nsid w:val="1B013C6F"/>
    <w:multiLevelType w:val="hybridMultilevel"/>
    <w:tmpl w:val="5B58C81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D4"/>
    <w:rsid w:val="000C1755"/>
    <w:rsid w:val="00967AD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AD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A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Milina Krizan</cp:lastModifiedBy>
  <cp:revision>2</cp:revision>
  <dcterms:created xsi:type="dcterms:W3CDTF">2016-03-07T10:32:00Z</dcterms:created>
  <dcterms:modified xsi:type="dcterms:W3CDTF">2016-03-07T10:32:00Z</dcterms:modified>
</cp:coreProperties>
</file>