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9E377E" w:rsidRPr="009E377E" w:rsidTr="009E377E">
        <w:trPr>
          <w:trHeight w:val="1975"/>
        </w:trPr>
        <w:tc>
          <w:tcPr>
            <w:tcW w:w="2550" w:type="dxa"/>
            <w:hideMark/>
          </w:tcPr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RS"/>
              </w:rPr>
            </w:pPr>
            <w:bookmarkStart w:id="0" w:name="_GoBack"/>
            <w:bookmarkEnd w:id="0"/>
            <w:r w:rsidRPr="009E377E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inline distT="0" distB="0" distL="0" distR="0" wp14:anchorId="5366AAB8" wp14:editId="24B03C66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E377E"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9E377E" w:rsidRPr="009E377E" w:rsidRDefault="009E377E" w:rsidP="009E377E">
            <w:pPr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E377E"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9E377E" w:rsidRPr="009E377E" w:rsidRDefault="009E377E" w:rsidP="009E377E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9E377E" w:rsidRPr="009E377E" w:rsidRDefault="009E377E" w:rsidP="009E377E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9E377E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9E377E" w:rsidRPr="009E377E" w:rsidRDefault="009E377E" w:rsidP="009E377E">
            <w:pPr>
              <w:rPr>
                <w:rFonts w:ascii="Calibri" w:eastAsia="Calibri" w:hAnsi="Calibri" w:cs="Arial"/>
                <w:b/>
                <w:sz w:val="16"/>
                <w:szCs w:val="22"/>
                <w:lang w:val="ru-RU"/>
              </w:rPr>
            </w:pPr>
            <w:r w:rsidRPr="009E377E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9E377E"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16, 21000 Újvidék</w:t>
            </w: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9E377E">
              <w:rPr>
                <w:rFonts w:ascii="Calibri" w:eastAsia="Calibri" w:hAnsi="Calibri"/>
                <w:sz w:val="16"/>
                <w:szCs w:val="16"/>
                <w:lang w:val="ru-RU"/>
              </w:rPr>
              <w:t>Т: +381 21  487  4</w:t>
            </w:r>
            <w:r>
              <w:rPr>
                <w:rFonts w:ascii="Calibri" w:eastAsia="Calibri" w:hAnsi="Calibri"/>
                <w:sz w:val="16"/>
                <w:szCs w:val="16"/>
                <w:lang w:val="en-US"/>
              </w:rPr>
              <w:t>767</w:t>
            </w:r>
            <w:r w:rsidRPr="009E377E">
              <w:rPr>
                <w:rFonts w:ascii="Calibri" w:eastAsia="Calibri" w:hAnsi="Calibri"/>
                <w:sz w:val="16"/>
                <w:szCs w:val="16"/>
                <w:lang w:val="ru-RU"/>
              </w:rPr>
              <w:t>, +381 21  487 4</w:t>
            </w:r>
            <w:r>
              <w:rPr>
                <w:rFonts w:ascii="Calibri" w:eastAsia="Calibri" w:hAnsi="Calibri"/>
                <w:sz w:val="16"/>
                <w:szCs w:val="16"/>
                <w:lang w:val="en-US"/>
              </w:rPr>
              <w:t>183</w:t>
            </w: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0"/>
                <w:szCs w:val="10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sr-Latn-RS"/>
              </w:rPr>
              <w:t>Djerdji.erdeg</w:t>
            </w:r>
            <w:r w:rsidRPr="009E377E">
              <w:rPr>
                <w:rFonts w:ascii="Calibri" w:eastAsia="Calibri" w:hAnsi="Calibri"/>
                <w:sz w:val="16"/>
                <w:szCs w:val="16"/>
                <w:lang w:val="sr-Latn-RS"/>
              </w:rPr>
              <w:t>@vojvodinа.gov.rs</w:t>
            </w:r>
          </w:p>
        </w:tc>
      </w:tr>
      <w:tr w:rsidR="009E377E" w:rsidRPr="009E377E" w:rsidTr="009E377E">
        <w:trPr>
          <w:trHeight w:val="305"/>
        </w:trPr>
        <w:tc>
          <w:tcPr>
            <w:tcW w:w="2550" w:type="dxa"/>
          </w:tcPr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>SZÁM: 128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451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-4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3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/2017-01</w:t>
            </w: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5444" w:type="dxa"/>
          </w:tcPr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</w:p>
          <w:p w:rsidR="009E377E" w:rsidRPr="009E377E" w:rsidRDefault="009E377E" w:rsidP="009E377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DÁTUM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2017.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február 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3</w:t>
            </w:r>
            <w:r w:rsidRPr="009E377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.</w:t>
            </w:r>
          </w:p>
        </w:tc>
      </w:tr>
    </w:tbl>
    <w:p w:rsidR="009E377E" w:rsidRDefault="009E377E" w:rsidP="009E377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9E377E" w:rsidRDefault="009E377E" w:rsidP="009E377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9E377E" w:rsidRDefault="009E377E" w:rsidP="009E377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9E377E" w:rsidRDefault="009E377E" w:rsidP="009E377E">
      <w:pPr>
        <w:jc w:val="both"/>
        <w:rPr>
          <w:rFonts w:ascii="Calibri" w:hAnsi="Calibri"/>
          <w:sz w:val="22"/>
          <w:szCs w:val="22"/>
          <w:lang w:val="hu-HU"/>
        </w:rPr>
      </w:pPr>
      <w:r w:rsidRPr="009E377E">
        <w:rPr>
          <w:rFonts w:ascii="Calibri" w:hAnsi="Calibri"/>
          <w:sz w:val="22"/>
          <w:szCs w:val="22"/>
          <w:lang w:val="sr-Cyrl-CS"/>
        </w:rPr>
        <w:t xml:space="preserve">A Tartományi, Oktatási, Jogalkotási, Közigazgatási és Nemzeti Kisebbségi – Nemzeti Közösségi Titkárság költségvetési eszközeinek Vajdaság Autonóm Tartományban az általános és középiskolai oktatási és nevelési programok és projektek társfinanszírozására való odaítéléséről szóló </w:t>
      </w:r>
      <w:r>
        <w:rPr>
          <w:rFonts w:ascii="Calibri" w:hAnsi="Calibri"/>
          <w:sz w:val="22"/>
          <w:szCs w:val="22"/>
          <w:lang w:val="hu-HU"/>
        </w:rPr>
        <w:t xml:space="preserve">szabályzat </w:t>
      </w:r>
      <w:r w:rsidRPr="009E377E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hu-HU"/>
        </w:rPr>
        <w:t>VAT Hivatalos Lapja, 6/17. s</w:t>
      </w:r>
      <w:r w:rsidRPr="009E377E"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 w:rsidRPr="009E377E">
        <w:rPr>
          <w:rFonts w:ascii="Calibri" w:hAnsi="Calibri"/>
          <w:sz w:val="22"/>
          <w:szCs w:val="22"/>
          <w:lang w:val="sr-Cyrl-CS"/>
        </w:rPr>
        <w:t>) 3. szakasza alapján</w:t>
      </w:r>
      <w:r>
        <w:rPr>
          <w:rFonts w:ascii="Calibri" w:hAnsi="Calibri"/>
          <w:sz w:val="22"/>
          <w:szCs w:val="22"/>
          <w:lang w:val="hu-HU"/>
        </w:rPr>
        <w:t xml:space="preserve">, figyelemmel a </w:t>
      </w:r>
      <w:r w:rsidRPr="009E377E">
        <w:rPr>
          <w:rFonts w:ascii="Calibri" w:hAnsi="Calibri"/>
          <w:sz w:val="22"/>
          <w:szCs w:val="22"/>
          <w:lang w:val="sr-Cyrl-CS"/>
        </w:rPr>
        <w:t>Vajdaság Autonóm Tartomány 201</w:t>
      </w:r>
      <w:r>
        <w:rPr>
          <w:rFonts w:ascii="Calibri" w:hAnsi="Calibri"/>
          <w:sz w:val="22"/>
          <w:szCs w:val="22"/>
          <w:lang w:val="hu-HU"/>
        </w:rPr>
        <w:t>7</w:t>
      </w:r>
      <w:r w:rsidRPr="009E377E">
        <w:rPr>
          <w:rFonts w:ascii="Calibri" w:hAnsi="Calibri"/>
          <w:sz w:val="22"/>
          <w:szCs w:val="22"/>
          <w:lang w:val="sr-Cyrl-CS"/>
        </w:rPr>
        <w:t>. évi költségvetéséről szóló tartományi képviselőházi rendelet</w:t>
      </w:r>
      <w:r>
        <w:rPr>
          <w:rFonts w:ascii="Calibri" w:hAnsi="Calibri"/>
          <w:sz w:val="22"/>
          <w:szCs w:val="22"/>
          <w:lang w:val="hu-HU"/>
        </w:rPr>
        <w:t>re</w:t>
      </w:r>
      <w:r w:rsidRPr="009E377E">
        <w:rPr>
          <w:rFonts w:ascii="Calibri" w:hAnsi="Calibri"/>
          <w:sz w:val="22"/>
          <w:szCs w:val="22"/>
          <w:lang w:val="sr-Cyrl-CS"/>
        </w:rPr>
        <w:t xml:space="preserve"> (Vajdaság AT Hivatalos Lapja, </w:t>
      </w:r>
      <w:r>
        <w:rPr>
          <w:rFonts w:ascii="Calibri" w:hAnsi="Calibri"/>
          <w:sz w:val="22"/>
          <w:szCs w:val="22"/>
          <w:lang w:val="hu-HU"/>
        </w:rPr>
        <w:t>69</w:t>
      </w:r>
      <w:r w:rsidRPr="009E377E">
        <w:rPr>
          <w:rFonts w:ascii="Calibri" w:hAnsi="Calibri"/>
          <w:sz w:val="22"/>
          <w:szCs w:val="22"/>
          <w:lang w:val="sr-Cyrl-CS"/>
        </w:rPr>
        <w:t>/1</w:t>
      </w:r>
      <w:r>
        <w:rPr>
          <w:rFonts w:ascii="Calibri" w:hAnsi="Calibri"/>
          <w:sz w:val="22"/>
          <w:szCs w:val="22"/>
          <w:lang w:val="hu-HU"/>
        </w:rPr>
        <w:t>6</w:t>
      </w:r>
      <w:r w:rsidRPr="009E377E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hu-HU"/>
        </w:rPr>
        <w:t>s</w:t>
      </w:r>
      <w:r w:rsidRPr="009E377E"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hu-HU"/>
        </w:rPr>
        <w:t>, a</w:t>
      </w:r>
      <w:r w:rsidRPr="009E377E">
        <w:rPr>
          <w:rFonts w:ascii="Calibri" w:hAnsi="Calibri"/>
          <w:sz w:val="22"/>
          <w:szCs w:val="22"/>
          <w:lang w:val="sr-Cyrl-CS"/>
        </w:rPr>
        <w:t xml:space="preserve"> Tartományi Oktatási, Jogalkotási, Közigazgatási és Nemzeti Kisebbségi – Nemzeti Közösségi Titkárság</w:t>
      </w:r>
    </w:p>
    <w:p w:rsidR="009E377E" w:rsidRDefault="009E377E" w:rsidP="009E377E">
      <w:pPr>
        <w:jc w:val="both"/>
        <w:rPr>
          <w:rFonts w:ascii="Calibri" w:hAnsi="Calibri"/>
          <w:sz w:val="22"/>
          <w:szCs w:val="22"/>
          <w:lang w:val="hu-HU"/>
        </w:rPr>
      </w:pPr>
    </w:p>
    <w:p w:rsidR="009E377E" w:rsidRPr="009E377E" w:rsidRDefault="009E377E" w:rsidP="009E377E">
      <w:pPr>
        <w:jc w:val="both"/>
        <w:rPr>
          <w:rFonts w:ascii="Calibri" w:hAnsi="Calibri"/>
          <w:color w:val="339966"/>
          <w:sz w:val="22"/>
          <w:szCs w:val="22"/>
          <w:lang w:val="hu-HU"/>
        </w:rPr>
      </w:pPr>
    </w:p>
    <w:p w:rsidR="009E377E" w:rsidRDefault="009E377E" w:rsidP="009E377E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PÁLYÁZATOT</w:t>
      </w:r>
    </w:p>
    <w:p w:rsidR="009E377E" w:rsidRPr="009E377E" w:rsidRDefault="00F303F1" w:rsidP="009E377E">
      <w:pPr>
        <w:ind w:right="-360"/>
        <w:jc w:val="center"/>
        <w:outlineLvl w:val="0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hi</w:t>
      </w:r>
      <w:r w:rsidR="009E377E">
        <w:rPr>
          <w:rFonts w:ascii="Calibri" w:hAnsi="Calibri"/>
          <w:color w:val="000000"/>
          <w:sz w:val="22"/>
          <w:szCs w:val="22"/>
          <w:lang w:val="hu-HU"/>
        </w:rPr>
        <w:t>rdet</w:t>
      </w:r>
    </w:p>
    <w:p w:rsidR="009E377E" w:rsidRDefault="009E377E" w:rsidP="009E377E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F303F1" w:rsidRPr="00F303F1">
        <w:rPr>
          <w:rFonts w:ascii="Calibri" w:hAnsi="Calibri"/>
          <w:b/>
          <w:color w:val="000000"/>
          <w:sz w:val="22"/>
          <w:szCs w:val="22"/>
          <w:lang w:val="sr-Cyrl-CS"/>
        </w:rPr>
        <w:t>A VAJDASÁG AUTONÓM TARTOMÁNYI ÁLTALÁNOS ÉS KÖZÉPISKOLAI PROGRAMOK ÉS PROJEKTEK 201</w:t>
      </w:r>
      <w:r w:rsidR="00F303F1">
        <w:rPr>
          <w:rFonts w:ascii="Calibri" w:hAnsi="Calibri"/>
          <w:b/>
          <w:color w:val="000000"/>
          <w:sz w:val="22"/>
          <w:szCs w:val="22"/>
          <w:lang w:val="hu-HU"/>
        </w:rPr>
        <w:t>7</w:t>
      </w:r>
      <w:r w:rsidR="00F303F1" w:rsidRPr="00F303F1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. ÉVI </w:t>
      </w:r>
      <w:r w:rsidR="00F303F1">
        <w:rPr>
          <w:rFonts w:ascii="Calibri" w:hAnsi="Calibri"/>
          <w:b/>
          <w:color w:val="000000"/>
          <w:sz w:val="22"/>
          <w:szCs w:val="22"/>
          <w:lang w:val="hu-HU"/>
        </w:rPr>
        <w:t xml:space="preserve">FINANSZÍROZÁSÁRA ÉS </w:t>
      </w:r>
      <w:r w:rsidR="00F303F1" w:rsidRPr="00F303F1">
        <w:rPr>
          <w:rFonts w:ascii="Calibri" w:hAnsi="Calibri"/>
          <w:b/>
          <w:color w:val="000000"/>
          <w:sz w:val="22"/>
          <w:szCs w:val="22"/>
          <w:lang w:val="sr-Cyrl-CS"/>
        </w:rPr>
        <w:t>TÁRSFINANSZÍROZÁSÁRA</w:t>
      </w:r>
    </w:p>
    <w:p w:rsidR="00F303F1" w:rsidRPr="00F303F1" w:rsidRDefault="00F303F1" w:rsidP="009E377E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</w:p>
    <w:p w:rsidR="009E377E" w:rsidRDefault="00F303F1" w:rsidP="009E377E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 w:rsidRPr="00F303F1">
        <w:rPr>
          <w:rFonts w:ascii="Calibri" w:hAnsi="Calibri"/>
          <w:color w:val="000000"/>
          <w:sz w:val="22"/>
          <w:szCs w:val="22"/>
          <w:lang w:val="sr-Cyrl-CS"/>
        </w:rPr>
        <w:t>A Tartományi Oktatási, Jogalkotási, Közigazgatási és Nemzeti Kisebbségi – Nemzeti Közösségi Titkárság a 201</w:t>
      </w:r>
      <w:r>
        <w:rPr>
          <w:rFonts w:ascii="Calibri" w:hAnsi="Calibri"/>
          <w:color w:val="000000"/>
          <w:sz w:val="22"/>
          <w:szCs w:val="22"/>
          <w:lang w:val="hu-HU"/>
        </w:rPr>
        <w:t>7</w:t>
      </w:r>
      <w:r w:rsidRPr="00F303F1">
        <w:rPr>
          <w:rFonts w:ascii="Calibri" w:hAnsi="Calibri"/>
          <w:color w:val="000000"/>
          <w:sz w:val="22"/>
          <w:szCs w:val="22"/>
          <w:lang w:val="sr-Cyrl-CS"/>
        </w:rPr>
        <w:t xml:space="preserve">. költségvetési év pénzügyi tervével és pénzügyi lehetőségeivel összhangban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14.502.500,00 dinár</w:t>
      </w:r>
      <w:r w:rsidRPr="00F303F1">
        <w:rPr>
          <w:rFonts w:ascii="Calibri" w:hAnsi="Calibri"/>
          <w:color w:val="000000"/>
          <w:sz w:val="22"/>
          <w:szCs w:val="22"/>
          <w:lang w:val="sr-Cyrl-CS"/>
        </w:rPr>
        <w:t xml:space="preserve"> összeggel vesz részt a Vajdaság autonóm tartományi általános és középiskolai oktatási programok és projektek finanszírozásában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és társfinanszírozásában.</w:t>
      </w:r>
    </w:p>
    <w:p w:rsidR="00F303F1" w:rsidRDefault="00F303F1" w:rsidP="009E377E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7258DD" w:rsidRDefault="00F303F1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AZ ESZKÖZÖK FELOSZTÁSA</w:t>
      </w: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А) </w:t>
      </w:r>
      <w:r w:rsidR="00F303F1">
        <w:rPr>
          <w:rFonts w:ascii="Calibri" w:hAnsi="Calibri"/>
          <w:b/>
          <w:color w:val="000000"/>
          <w:sz w:val="22"/>
          <w:szCs w:val="22"/>
          <w:lang w:val="hu-HU"/>
        </w:rPr>
        <w:t>Az általános és középiskolai oktatási intézmények és az oktatásban foglalkoztatottak regionális hivatásirányú fejlesztési központjai</w:t>
      </w:r>
    </w:p>
    <w:p w:rsidR="009E377E" w:rsidRDefault="00F303F1" w:rsidP="009E377E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az általános iskolai oktatási programokra és projektekre</w:t>
      </w:r>
      <w:r w:rsidR="009E377E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9E377E">
        <w:rPr>
          <w:rFonts w:ascii="Calibri" w:hAnsi="Calibri"/>
          <w:sz w:val="22"/>
          <w:szCs w:val="22"/>
          <w:lang w:val="ru-RU"/>
        </w:rPr>
        <w:t>–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9E377E">
        <w:rPr>
          <w:rFonts w:ascii="Calibri" w:hAnsi="Calibri"/>
          <w:b/>
          <w:sz w:val="22"/>
          <w:szCs w:val="22"/>
          <w:lang w:val="ru-RU"/>
        </w:rPr>
        <w:t xml:space="preserve">5.540.000,00 </w:t>
      </w:r>
      <w:r>
        <w:rPr>
          <w:rFonts w:ascii="Calibri" w:hAnsi="Calibri"/>
          <w:b/>
          <w:sz w:val="22"/>
          <w:szCs w:val="22"/>
          <w:lang w:val="hu-HU"/>
        </w:rPr>
        <w:t>dinár</w:t>
      </w:r>
      <w:r w:rsidR="009E377E">
        <w:rPr>
          <w:rFonts w:ascii="Calibri" w:hAnsi="Calibri"/>
          <w:b/>
          <w:sz w:val="22"/>
          <w:szCs w:val="22"/>
          <w:lang w:val="sr-Cyrl-CS"/>
        </w:rPr>
        <w:t>,</w:t>
      </w:r>
    </w:p>
    <w:p w:rsidR="009E377E" w:rsidRDefault="00F303F1" w:rsidP="009E377E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középiskolai oktatási programokra és projektekre</w:t>
      </w:r>
      <w:r w:rsidR="009E377E">
        <w:rPr>
          <w:rFonts w:ascii="Calibri" w:hAnsi="Calibri"/>
          <w:sz w:val="22"/>
          <w:szCs w:val="22"/>
          <w:lang w:val="sr-Cyrl-CS"/>
        </w:rPr>
        <w:t xml:space="preserve"> – </w:t>
      </w:r>
      <w:r w:rsidR="009E377E">
        <w:rPr>
          <w:rFonts w:ascii="Calibri" w:hAnsi="Calibri"/>
          <w:b/>
          <w:sz w:val="22"/>
          <w:szCs w:val="22"/>
          <w:lang w:val="sr-Cyrl-CS"/>
        </w:rPr>
        <w:t xml:space="preserve">3.650.000,00 </w:t>
      </w:r>
      <w:r>
        <w:rPr>
          <w:rFonts w:ascii="Calibri" w:hAnsi="Calibri"/>
          <w:b/>
          <w:sz w:val="22"/>
          <w:szCs w:val="22"/>
          <w:lang w:val="hu-HU"/>
        </w:rPr>
        <w:t>dinár</w:t>
      </w:r>
      <w:r w:rsidR="009E377E">
        <w:rPr>
          <w:rFonts w:ascii="Calibri" w:hAnsi="Calibri"/>
          <w:b/>
          <w:sz w:val="22"/>
          <w:szCs w:val="22"/>
          <w:lang w:val="sr-Cyrl-CS"/>
        </w:rPr>
        <w:t>.</w:t>
      </w:r>
    </w:p>
    <w:p w:rsidR="009E377E" w:rsidRDefault="00F303F1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B</w:t>
      </w:r>
      <w:r w:rsidR="009E377E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)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Egyesületek</w:t>
      </w:r>
    </w:p>
    <w:p w:rsidR="009E377E" w:rsidRDefault="009E377E" w:rsidP="009E377E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9E377E" w:rsidRDefault="00F303F1" w:rsidP="009E377E">
      <w:pPr>
        <w:numPr>
          <w:ilvl w:val="0"/>
          <w:numId w:val="2"/>
        </w:num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az általános iskolai szintű programokra és projektekre</w:t>
      </w:r>
      <w:r w:rsidR="009E377E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9E377E">
        <w:rPr>
          <w:rFonts w:ascii="Calibri" w:hAnsi="Calibri"/>
          <w:sz w:val="22"/>
          <w:szCs w:val="22"/>
          <w:lang w:val="sr-Cyrl-CS"/>
        </w:rPr>
        <w:t xml:space="preserve">– </w:t>
      </w:r>
      <w:r w:rsidR="009E377E">
        <w:rPr>
          <w:rFonts w:ascii="Calibri" w:hAnsi="Calibri"/>
          <w:b/>
          <w:sz w:val="22"/>
          <w:szCs w:val="22"/>
          <w:lang w:val="sr-Cyrl-CS"/>
        </w:rPr>
        <w:t>2.552.500,00</w:t>
      </w:r>
      <w:r>
        <w:rPr>
          <w:rFonts w:ascii="Calibri" w:hAnsi="Calibri"/>
          <w:b/>
          <w:sz w:val="22"/>
          <w:szCs w:val="22"/>
          <w:lang w:val="hu-HU"/>
        </w:rPr>
        <w:t xml:space="preserve"> dinár</w:t>
      </w:r>
      <w:r w:rsidR="009E377E">
        <w:rPr>
          <w:rFonts w:ascii="Calibri" w:hAnsi="Calibri"/>
          <w:b/>
          <w:sz w:val="22"/>
          <w:szCs w:val="22"/>
          <w:lang w:val="ru-RU"/>
        </w:rPr>
        <w:t>,</w:t>
      </w:r>
    </w:p>
    <w:p w:rsidR="007258DD" w:rsidRPr="007258DD" w:rsidRDefault="007258DD" w:rsidP="009E377E">
      <w:pPr>
        <w:numPr>
          <w:ilvl w:val="0"/>
          <w:numId w:val="2"/>
        </w:num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 xml:space="preserve">a középiskolai szintű programokra és projektekre </w:t>
      </w:r>
      <w:r w:rsidR="009E377E">
        <w:rPr>
          <w:rFonts w:ascii="Calibri" w:hAnsi="Calibri"/>
          <w:sz w:val="22"/>
          <w:szCs w:val="22"/>
          <w:lang w:val="sr-Cyrl-CS"/>
        </w:rPr>
        <w:t xml:space="preserve"> –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9E377E">
        <w:rPr>
          <w:rFonts w:ascii="Calibri" w:hAnsi="Calibri"/>
          <w:b/>
          <w:sz w:val="22"/>
          <w:szCs w:val="22"/>
          <w:lang w:val="sr-Cyrl-CS"/>
        </w:rPr>
        <w:t xml:space="preserve">2.760.000,00 </w:t>
      </w:r>
      <w:r>
        <w:rPr>
          <w:rFonts w:ascii="Calibri" w:hAnsi="Calibri"/>
          <w:b/>
          <w:sz w:val="22"/>
          <w:szCs w:val="22"/>
          <w:lang w:val="hu-HU"/>
        </w:rPr>
        <w:t>dinár.</w:t>
      </w:r>
    </w:p>
    <w:p w:rsidR="009E377E" w:rsidRDefault="009E377E" w:rsidP="007258DD">
      <w:pPr>
        <w:ind w:left="1440"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9E377E" w:rsidRDefault="007258DD" w:rsidP="009E377E">
      <w:pPr>
        <w:ind w:right="180" w:firstLine="72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 pályázaton </w:t>
      </w:r>
      <w:r w:rsidRPr="007258DD">
        <w:rPr>
          <w:rFonts w:ascii="Calibri" w:hAnsi="Calibri"/>
          <w:sz w:val="22"/>
          <w:szCs w:val="22"/>
          <w:lang w:val="sr-Cyrl-CS"/>
        </w:rPr>
        <w:t xml:space="preserve">a Szerb Köztársaság, az autonóm tartomány vagy a helyi önkormányzat </w:t>
      </w:r>
      <w:r>
        <w:rPr>
          <w:rFonts w:ascii="Calibri" w:hAnsi="Calibri"/>
          <w:sz w:val="22"/>
          <w:szCs w:val="22"/>
          <w:lang w:val="hu-HU"/>
        </w:rPr>
        <w:t xml:space="preserve">által </w:t>
      </w:r>
      <w:r w:rsidRPr="007258DD">
        <w:rPr>
          <w:rFonts w:ascii="Calibri" w:hAnsi="Calibri"/>
          <w:sz w:val="22"/>
          <w:szCs w:val="22"/>
          <w:lang w:val="sr-Cyrl-CS"/>
        </w:rPr>
        <w:t>alapított</w:t>
      </w:r>
      <w:r>
        <w:rPr>
          <w:rFonts w:ascii="Calibri" w:hAnsi="Calibri"/>
          <w:sz w:val="22"/>
          <w:szCs w:val="22"/>
          <w:lang w:val="hu-HU"/>
        </w:rPr>
        <w:t>,</w:t>
      </w:r>
      <w:r w:rsidRPr="007258DD">
        <w:rPr>
          <w:rFonts w:ascii="Calibri" w:hAnsi="Calibri"/>
          <w:sz w:val="22"/>
          <w:szCs w:val="22"/>
          <w:lang w:val="sr-Cyrl-CS"/>
        </w:rPr>
        <w:t xml:space="preserve"> Vajdaság autonóm tartományi székhelyű általános és középiskolai oktatási intézmények és a az oktatásban foglalkoztatottak Vajdaság autonóm tartományi székhelyű regionális hivatásirányú fejlesztési központjai, valamint </w:t>
      </w:r>
      <w:r>
        <w:rPr>
          <w:rFonts w:ascii="Calibri" w:hAnsi="Calibri"/>
          <w:sz w:val="22"/>
          <w:szCs w:val="22"/>
          <w:lang w:val="hu-HU"/>
        </w:rPr>
        <w:t>olyan</w:t>
      </w:r>
      <w:r w:rsidRPr="007258DD">
        <w:rPr>
          <w:rFonts w:ascii="Calibri" w:hAnsi="Calibri"/>
          <w:sz w:val="22"/>
          <w:szCs w:val="22"/>
          <w:lang w:val="sr-Cyrl-CS"/>
        </w:rPr>
        <w:t xml:space="preserve"> Vajdaság autonóm tartományi székhelyű egyesületek</w:t>
      </w:r>
      <w:r>
        <w:rPr>
          <w:rFonts w:ascii="Calibri" w:hAnsi="Calibri"/>
          <w:sz w:val="22"/>
          <w:szCs w:val="22"/>
          <w:lang w:val="hu-HU"/>
        </w:rPr>
        <w:t xml:space="preserve"> vehetnek részt</w:t>
      </w:r>
      <w:r w:rsidRPr="007258DD">
        <w:rPr>
          <w:rFonts w:ascii="Calibri" w:hAnsi="Calibri"/>
          <w:sz w:val="22"/>
          <w:szCs w:val="22"/>
          <w:lang w:val="sr-Cyrl-CS"/>
        </w:rPr>
        <w:t>, amelyek alapszabályukban társulásuk egyik céljaként oktatási tevékenységeket irányoztak elő. A</w:t>
      </w:r>
      <w:r>
        <w:rPr>
          <w:rFonts w:ascii="Calibri" w:hAnsi="Calibri"/>
          <w:sz w:val="22"/>
          <w:szCs w:val="22"/>
          <w:lang w:val="hu-HU"/>
        </w:rPr>
        <w:t>z</w:t>
      </w:r>
      <w:r w:rsidRPr="007258DD">
        <w:rPr>
          <w:rFonts w:ascii="Calibri" w:hAnsi="Calibri"/>
          <w:sz w:val="22"/>
          <w:szCs w:val="22"/>
          <w:lang w:val="sr-Cyrl-CS"/>
        </w:rPr>
        <w:t xml:space="preserve"> említett eszközöket a</w:t>
      </w:r>
      <w:r>
        <w:rPr>
          <w:rFonts w:ascii="Calibri" w:hAnsi="Calibri"/>
          <w:sz w:val="22"/>
          <w:szCs w:val="22"/>
          <w:lang w:val="sr-Cyrl-CS"/>
        </w:rPr>
        <w:t>z alábbi prioritásokra szántuk:</w:t>
      </w:r>
    </w:p>
    <w:p w:rsidR="007258DD" w:rsidRPr="007258DD" w:rsidRDefault="007258DD" w:rsidP="009E377E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9E377E" w:rsidRDefault="007258DD" w:rsidP="009E377E">
      <w:pPr>
        <w:numPr>
          <w:ilvl w:val="0"/>
          <w:numId w:val="3"/>
        </w:num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hu-HU"/>
        </w:rPr>
        <w:t>Az oktató és nevelő munka korszerűsítés</w:t>
      </w:r>
      <w:r w:rsidR="001F2A3F">
        <w:rPr>
          <w:rFonts w:ascii="Calibri" w:hAnsi="Calibri"/>
          <w:b/>
          <w:sz w:val="22"/>
          <w:szCs w:val="22"/>
          <w:lang w:val="hu-HU"/>
        </w:rPr>
        <w:t>ére</w:t>
      </w:r>
      <w:r w:rsidR="009E377E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9E377E" w:rsidRDefault="009E377E" w:rsidP="009E377E">
      <w:pPr>
        <w:ind w:left="360"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1а)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7258DD">
        <w:rPr>
          <w:rFonts w:ascii="Calibri" w:hAnsi="Calibri"/>
          <w:sz w:val="22"/>
          <w:szCs w:val="22"/>
          <w:lang w:val="hu-HU"/>
        </w:rPr>
        <w:t>a tanítási folyamat korszerűsítése valamennyi résztvevőjének újító- és alkotókészsége révén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</w:p>
    <w:p w:rsidR="009E377E" w:rsidRDefault="009E377E" w:rsidP="009E377E">
      <w:pPr>
        <w:ind w:left="360"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1</w:t>
      </w:r>
      <w:r w:rsidR="007258DD">
        <w:rPr>
          <w:rFonts w:ascii="Calibri" w:hAnsi="Calibri"/>
          <w:b/>
          <w:sz w:val="22"/>
          <w:szCs w:val="22"/>
          <w:lang w:val="hu-HU"/>
        </w:rPr>
        <w:t>b</w:t>
      </w:r>
      <w:r>
        <w:rPr>
          <w:rFonts w:ascii="Calibri" w:hAnsi="Calibri"/>
          <w:b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1F2A3F">
        <w:rPr>
          <w:rFonts w:ascii="Calibri" w:hAnsi="Calibri"/>
          <w:sz w:val="22"/>
          <w:szCs w:val="22"/>
          <w:lang w:val="hu-HU"/>
        </w:rPr>
        <w:t>a tanügyi káderállomány szakmai továbbképzése (</w:t>
      </w:r>
      <w:r w:rsidR="001F2A3F" w:rsidRPr="001F2A3F">
        <w:rPr>
          <w:rFonts w:ascii="Calibri" w:hAnsi="Calibri"/>
          <w:sz w:val="22"/>
          <w:szCs w:val="22"/>
          <w:lang w:val="hu-HU"/>
        </w:rPr>
        <w:t>A régiók és helyi önkormányzat</w:t>
      </w:r>
      <w:r w:rsidR="001F2A3F">
        <w:rPr>
          <w:rFonts w:ascii="Calibri" w:hAnsi="Calibri"/>
          <w:sz w:val="22"/>
          <w:szCs w:val="22"/>
          <w:lang w:val="hu-HU"/>
        </w:rPr>
        <w:t>ok</w:t>
      </w:r>
      <w:r w:rsidR="001F2A3F" w:rsidRPr="001F2A3F">
        <w:rPr>
          <w:rFonts w:ascii="Calibri" w:hAnsi="Calibri"/>
          <w:sz w:val="22"/>
          <w:szCs w:val="22"/>
          <w:lang w:val="hu-HU"/>
        </w:rPr>
        <w:t xml:space="preserve"> minden évre megállapított és Az SZK Hivatalos Közlönyében közzétett egys</w:t>
      </w:r>
      <w:r w:rsidR="001F2A3F">
        <w:rPr>
          <w:rFonts w:ascii="Calibri" w:hAnsi="Calibri"/>
          <w:sz w:val="22"/>
          <w:szCs w:val="22"/>
          <w:lang w:val="hu-HU"/>
        </w:rPr>
        <w:t>éges fejlettségi listája értelmében fejletlen és kiemelten fejletlen helyi önkormányzatokban)</w:t>
      </w:r>
      <w:r>
        <w:rPr>
          <w:rFonts w:ascii="Calibri" w:hAnsi="Calibri"/>
          <w:sz w:val="22"/>
          <w:szCs w:val="22"/>
          <w:lang w:val="sr-Cyrl-CS"/>
        </w:rPr>
        <w:t>,</w:t>
      </w:r>
    </w:p>
    <w:p w:rsidR="009E377E" w:rsidRDefault="009E377E" w:rsidP="009E377E">
      <w:pPr>
        <w:ind w:left="360" w:right="18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sr-Cyrl-CS"/>
        </w:rPr>
        <w:t>1</w:t>
      </w:r>
      <w:r w:rsidR="007258DD">
        <w:rPr>
          <w:rFonts w:ascii="Calibri" w:hAnsi="Calibri"/>
          <w:b/>
          <w:sz w:val="22"/>
          <w:szCs w:val="22"/>
          <w:lang w:val="hu-HU"/>
        </w:rPr>
        <w:t>c</w:t>
      </w:r>
      <w:r>
        <w:rPr>
          <w:rFonts w:ascii="Calibri" w:hAnsi="Calibri"/>
          <w:b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1F2A3F">
        <w:rPr>
          <w:rFonts w:ascii="Calibri" w:hAnsi="Calibri"/>
          <w:sz w:val="22"/>
          <w:szCs w:val="22"/>
          <w:lang w:val="hu-HU"/>
        </w:rPr>
        <w:t>az oktatás népszerűsítése a médiában, a jó gyakorlat példáinak és a korszerű oktatási trendek kiemelésének érdekében</w:t>
      </w:r>
      <w:r w:rsidR="00810115">
        <w:rPr>
          <w:rFonts w:ascii="Calibri" w:hAnsi="Calibri"/>
          <w:sz w:val="22"/>
          <w:szCs w:val="22"/>
          <w:lang w:val="hu-HU"/>
        </w:rPr>
        <w:t>,</w:t>
      </w:r>
    </w:p>
    <w:p w:rsidR="007258DD" w:rsidRPr="007258DD" w:rsidRDefault="007258DD" w:rsidP="009E377E">
      <w:pPr>
        <w:ind w:left="360" w:right="180"/>
        <w:jc w:val="both"/>
        <w:rPr>
          <w:rFonts w:ascii="Calibri" w:hAnsi="Calibri"/>
          <w:sz w:val="22"/>
          <w:szCs w:val="22"/>
          <w:lang w:val="hu-HU"/>
        </w:rPr>
      </w:pPr>
    </w:p>
    <w:p w:rsidR="009E377E" w:rsidRDefault="009E377E" w:rsidP="009E377E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2.   </w:t>
      </w:r>
      <w:r w:rsidR="001F2A3F">
        <w:rPr>
          <w:rFonts w:ascii="Calibri" w:hAnsi="Calibri"/>
          <w:b/>
          <w:sz w:val="22"/>
          <w:szCs w:val="22"/>
          <w:lang w:val="hu-HU"/>
        </w:rPr>
        <w:t>Az oktatásnak a munkapiac szükségleteivel való összehangolására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9E377E" w:rsidRDefault="009E377E" w:rsidP="009E377E">
      <w:pPr>
        <w:ind w:left="36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sr-Cyrl-CS"/>
        </w:rPr>
        <w:t>–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1F2A3F">
        <w:rPr>
          <w:rFonts w:ascii="Calibri" w:hAnsi="Calibri"/>
          <w:sz w:val="22"/>
          <w:szCs w:val="22"/>
          <w:lang w:val="hu-HU"/>
        </w:rPr>
        <w:t xml:space="preserve">a vállalkozói szellem előmozdítása, a gyakorlati és az életben alkalmazott készségek fejlesztése, a pályaválasztás és karriervezetés, a szakmai gyakorlat </w:t>
      </w:r>
      <w:r w:rsidR="00810115">
        <w:rPr>
          <w:rFonts w:ascii="Calibri" w:hAnsi="Calibri"/>
          <w:sz w:val="22"/>
          <w:szCs w:val="22"/>
          <w:lang w:val="hu-HU"/>
        </w:rPr>
        <w:t>minőségének emelése</w:t>
      </w:r>
      <w:r>
        <w:rPr>
          <w:rFonts w:ascii="Calibri" w:hAnsi="Calibri"/>
          <w:sz w:val="22"/>
          <w:szCs w:val="22"/>
          <w:lang w:val="ru-RU"/>
        </w:rPr>
        <w:t>,</w:t>
      </w:r>
    </w:p>
    <w:p w:rsidR="009E377E" w:rsidRDefault="009E377E" w:rsidP="009E377E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E377E" w:rsidRDefault="009E377E" w:rsidP="009E377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3.  </w:t>
      </w:r>
      <w:r w:rsidR="00810115">
        <w:rPr>
          <w:rFonts w:ascii="Calibri" w:hAnsi="Calibri"/>
          <w:b/>
          <w:sz w:val="22"/>
          <w:szCs w:val="22"/>
          <w:lang w:val="hu-HU"/>
        </w:rPr>
        <w:t>A multikulturaliymus/interkulturalizmus és hagyományok, valamint a nemzeti kisebbségek – nemzeti közösségek tagjai anyanyelvének ápolására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9E377E" w:rsidRDefault="009E377E" w:rsidP="009E377E">
      <w:pPr>
        <w:ind w:left="36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–   </w:t>
      </w:r>
      <w:r w:rsidR="00810115">
        <w:rPr>
          <w:rFonts w:ascii="Calibri" w:hAnsi="Calibri"/>
          <w:sz w:val="22"/>
          <w:szCs w:val="22"/>
          <w:lang w:val="hu-HU"/>
        </w:rPr>
        <w:t>feltételek megteremtése, hogy a különböző nemzeti közösségek tagjai jobban megismerjék egymást, valamint bővebb ismereteket szerezzenek a történelemről, művelődésről és az együttélésre vonatkozó egyéb jelentős tényekről, a nemzetek közötti bizalom fokozása,</w:t>
      </w:r>
    </w:p>
    <w:p w:rsidR="007258DD" w:rsidRPr="007258DD" w:rsidRDefault="007258DD" w:rsidP="009E377E">
      <w:pPr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9E377E" w:rsidRDefault="009E377E" w:rsidP="009E377E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4. </w:t>
      </w:r>
      <w:r w:rsidR="00810115">
        <w:rPr>
          <w:rFonts w:ascii="Calibri" w:hAnsi="Calibri"/>
          <w:b/>
          <w:sz w:val="22"/>
          <w:szCs w:val="22"/>
          <w:lang w:val="hu-HU"/>
        </w:rPr>
        <w:t>A felzárkóztató oktatás támogatására és az intézményes oktatásból való korai kilépés megelőzésére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9E377E" w:rsidRDefault="009E377E" w:rsidP="009E377E">
      <w:pPr>
        <w:ind w:left="7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4а</w:t>
      </w:r>
      <w:r>
        <w:rPr>
          <w:rFonts w:ascii="Calibri" w:hAnsi="Calibri"/>
          <w:sz w:val="22"/>
          <w:szCs w:val="22"/>
          <w:lang w:val="sr-Cyrl-CS"/>
        </w:rPr>
        <w:t xml:space="preserve">) </w:t>
      </w:r>
      <w:r w:rsidR="00810115">
        <w:rPr>
          <w:rFonts w:ascii="Calibri" w:hAnsi="Calibri"/>
          <w:sz w:val="22"/>
          <w:szCs w:val="22"/>
          <w:lang w:val="hu-HU"/>
        </w:rPr>
        <w:t xml:space="preserve">a </w:t>
      </w:r>
      <w:r w:rsidR="005A2582">
        <w:rPr>
          <w:rFonts w:ascii="Calibri" w:hAnsi="Calibri"/>
          <w:sz w:val="22"/>
          <w:szCs w:val="22"/>
          <w:lang w:val="hu-HU"/>
        </w:rPr>
        <w:t>(</w:t>
      </w:r>
      <w:r w:rsidR="005A2582" w:rsidRPr="005A2582">
        <w:rPr>
          <w:rFonts w:ascii="Calibri" w:hAnsi="Calibri"/>
          <w:sz w:val="22"/>
          <w:szCs w:val="22"/>
          <w:lang w:val="hu-HU"/>
        </w:rPr>
        <w:t>fejlődési rendellenességekkel, sajátos tanulási nehézségekkel küszködő és a társadalmilag érzékeny csoportokhoz tartozó</w:t>
      </w:r>
      <w:r w:rsidR="005A2582">
        <w:rPr>
          <w:rFonts w:ascii="Calibri" w:hAnsi="Calibri"/>
          <w:sz w:val="22"/>
          <w:szCs w:val="22"/>
          <w:lang w:val="hu-HU"/>
        </w:rPr>
        <w:t>)</w:t>
      </w:r>
      <w:r w:rsidR="005A2582" w:rsidRPr="005A2582">
        <w:rPr>
          <w:rFonts w:ascii="Calibri" w:hAnsi="Calibri"/>
          <w:sz w:val="22"/>
          <w:szCs w:val="22"/>
          <w:lang w:val="hu-HU"/>
        </w:rPr>
        <w:t xml:space="preserve"> </w:t>
      </w:r>
      <w:r w:rsidR="00810115">
        <w:rPr>
          <w:rFonts w:ascii="Calibri" w:hAnsi="Calibri"/>
          <w:sz w:val="22"/>
          <w:szCs w:val="22"/>
          <w:lang w:val="hu-HU"/>
        </w:rPr>
        <w:t>tanulók társadalmi bevonása és előrehaladása</w:t>
      </w:r>
      <w:r w:rsidR="005A2582">
        <w:rPr>
          <w:rFonts w:ascii="Calibri" w:hAnsi="Calibri"/>
          <w:sz w:val="22"/>
          <w:szCs w:val="22"/>
          <w:lang w:val="hu-HU"/>
        </w:rPr>
        <w:t>, valamint az intézményes oktatásból való korai kilépés megelőzése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</w:p>
    <w:p w:rsidR="009E377E" w:rsidRDefault="009E377E" w:rsidP="009E377E">
      <w:pPr>
        <w:ind w:left="72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sr-Cyrl-CS"/>
        </w:rPr>
        <w:t>4</w:t>
      </w:r>
      <w:r w:rsidR="00810115">
        <w:rPr>
          <w:rFonts w:ascii="Calibri" w:hAnsi="Calibri"/>
          <w:b/>
          <w:sz w:val="22"/>
          <w:szCs w:val="22"/>
          <w:lang w:val="hu-HU"/>
        </w:rPr>
        <w:t>b</w:t>
      </w:r>
      <w:r>
        <w:rPr>
          <w:rFonts w:ascii="Calibri" w:hAnsi="Calibri"/>
          <w:sz w:val="22"/>
          <w:szCs w:val="22"/>
          <w:lang w:val="sr-Cyrl-CS"/>
        </w:rPr>
        <w:t xml:space="preserve">) </w:t>
      </w:r>
      <w:r w:rsidR="005A2582">
        <w:rPr>
          <w:rFonts w:ascii="Calibri" w:hAnsi="Calibri"/>
          <w:sz w:val="22"/>
          <w:szCs w:val="22"/>
          <w:lang w:val="hu-HU"/>
        </w:rPr>
        <w:t>a kivételes képességű tanulók támogatása, tehetséggondozás a tanulók oktatási és nevelési szükségleteivel összhangban (a munkamódszerek és –feltételek átalakításával, az oktatási tartalmak gazdagításával és bővítésével, régióközi/nemzetközi diákversenyek, melyeket nem az Oktatási, Tudományügyi és Technológiai Fejlesztési Minisztérium szervez).</w:t>
      </w:r>
    </w:p>
    <w:p w:rsidR="007258DD" w:rsidRPr="007258DD" w:rsidRDefault="007258DD" w:rsidP="009E377E">
      <w:pPr>
        <w:ind w:left="720"/>
        <w:jc w:val="both"/>
        <w:rPr>
          <w:rFonts w:ascii="Calibri" w:hAnsi="Calibri"/>
          <w:sz w:val="22"/>
          <w:szCs w:val="22"/>
          <w:lang w:val="hu-HU"/>
        </w:rPr>
      </w:pPr>
    </w:p>
    <w:p w:rsidR="009E377E" w:rsidRDefault="009E377E" w:rsidP="009E377E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      5.  </w:t>
      </w:r>
      <w:r w:rsidR="005A2582">
        <w:rPr>
          <w:rFonts w:ascii="Calibri" w:hAnsi="Calibri"/>
          <w:b/>
          <w:sz w:val="22"/>
          <w:szCs w:val="22"/>
          <w:lang w:val="hu-HU"/>
        </w:rPr>
        <w:t>Szabadidős tevékenységek ösztönzése</w:t>
      </w:r>
    </w:p>
    <w:p w:rsidR="009E377E" w:rsidRPr="007258DD" w:rsidRDefault="005A2582" w:rsidP="009E377E">
      <w:pPr>
        <w:numPr>
          <w:ilvl w:val="0"/>
          <w:numId w:val="4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tanulók szabadidős és szünidei tevékenységének szervezett és szakavatott irányítása</w:t>
      </w:r>
      <w:r w:rsidR="00A212BB">
        <w:rPr>
          <w:rFonts w:ascii="Calibri" w:hAnsi="Calibri"/>
          <w:sz w:val="22"/>
          <w:szCs w:val="22"/>
          <w:lang w:val="hu-HU"/>
        </w:rPr>
        <w:t xml:space="preserve"> edukációs táborok, diáktalálkozók, szakkörök, sport, tudományos-műszaki, művelődési és egyéb tartalmak révén.</w:t>
      </w:r>
      <w:r w:rsidR="009E377E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258DD" w:rsidRDefault="007258DD" w:rsidP="007258DD">
      <w:pPr>
        <w:ind w:left="720" w:right="180"/>
        <w:jc w:val="both"/>
        <w:rPr>
          <w:rFonts w:ascii="Calibri" w:hAnsi="Calibri"/>
          <w:sz w:val="22"/>
          <w:szCs w:val="22"/>
          <w:lang w:val="hu-HU"/>
        </w:rPr>
      </w:pPr>
    </w:p>
    <w:p w:rsidR="007258DD" w:rsidRPr="007258DD" w:rsidRDefault="007258DD" w:rsidP="007258DD">
      <w:pPr>
        <w:ind w:left="720" w:right="180"/>
        <w:jc w:val="both"/>
        <w:rPr>
          <w:rFonts w:ascii="Calibri" w:hAnsi="Calibri"/>
          <w:sz w:val="22"/>
          <w:szCs w:val="22"/>
          <w:lang w:val="hu-HU"/>
        </w:rPr>
      </w:pPr>
    </w:p>
    <w:p w:rsidR="009E377E" w:rsidRDefault="00A212BB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EGYSÉGES PÁLYÁZATI FELTÉTELEK</w:t>
      </w:r>
      <w:r w:rsidR="009E377E">
        <w:rPr>
          <w:rFonts w:ascii="Calibri" w:hAnsi="Calibri"/>
          <w:b/>
          <w:color w:val="000000"/>
          <w:sz w:val="22"/>
          <w:szCs w:val="22"/>
          <w:lang w:val="sr-Cyrl-CS"/>
        </w:rPr>
        <w:t>:</w:t>
      </w:r>
    </w:p>
    <w:p w:rsidR="007258DD" w:rsidRPr="007258DD" w:rsidRDefault="007258DD" w:rsidP="009E377E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</w:p>
    <w:p w:rsidR="009E377E" w:rsidRDefault="009E377E" w:rsidP="009E377E">
      <w:pPr>
        <w:ind w:right="180"/>
        <w:jc w:val="both"/>
        <w:rPr>
          <w:rFonts w:ascii="Calibri" w:hAnsi="Calibri"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   </w:t>
      </w:r>
      <w:r>
        <w:rPr>
          <w:rFonts w:ascii="Calibri" w:hAnsi="Calibri"/>
          <w:color w:val="000000"/>
          <w:sz w:val="22"/>
          <w:szCs w:val="22"/>
          <w:lang w:val="en-US"/>
        </w:rPr>
        <w:t>I</w:t>
      </w:r>
      <w:r>
        <w:rPr>
          <w:rFonts w:ascii="Calibri" w:hAnsi="Calibri"/>
          <w:color w:val="000000"/>
          <w:sz w:val="22"/>
          <w:szCs w:val="22"/>
          <w:lang w:val="sr-Cyrl-CS"/>
        </w:rPr>
        <w:tab/>
      </w:r>
      <w:r w:rsidR="00A212BB">
        <w:rPr>
          <w:rFonts w:ascii="Calibri" w:hAnsi="Calibri"/>
          <w:i/>
          <w:color w:val="000000"/>
          <w:sz w:val="22"/>
          <w:szCs w:val="22"/>
          <w:lang w:val="hu-HU"/>
        </w:rPr>
        <w:t>Az eszközök felosztása az alábbi kritériumok szerint történik</w:t>
      </w:r>
      <w:r>
        <w:rPr>
          <w:rFonts w:ascii="Calibri" w:hAnsi="Calibri"/>
          <w:i/>
          <w:color w:val="000000"/>
          <w:sz w:val="22"/>
          <w:szCs w:val="22"/>
          <w:lang w:val="sr-Cyrl-CS"/>
        </w:rPr>
        <w:t>:</w:t>
      </w:r>
    </w:p>
    <w:p w:rsidR="00A212BB" w:rsidRDefault="00A212BB" w:rsidP="009E377E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1. A program/projekt témának való megfelelése</w:t>
      </w:r>
    </w:p>
    <w:p w:rsidR="00A212BB" w:rsidRDefault="00A212BB" w:rsidP="009E377E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2. A javasolt program/projekt hatása</w:t>
      </w:r>
    </w:p>
    <w:p w:rsidR="009E377E" w:rsidRDefault="00A212BB" w:rsidP="009E377E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3. Az előterjesztő kompetenciája és eddigi tapasztalatok </w:t>
      </w:r>
      <w:r w:rsidR="009E377E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</w:p>
    <w:p w:rsidR="007258DD" w:rsidRPr="007258DD" w:rsidRDefault="007258DD" w:rsidP="009E377E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9E377E" w:rsidRDefault="009E377E" w:rsidP="009E377E">
      <w:pPr>
        <w:ind w:right="180"/>
        <w:jc w:val="both"/>
        <w:rPr>
          <w:rFonts w:ascii="Calibri" w:hAnsi="Calibri"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  </w:t>
      </w:r>
      <w:r>
        <w:rPr>
          <w:rFonts w:ascii="Calibri" w:hAnsi="Calibri"/>
          <w:color w:val="000000"/>
          <w:sz w:val="22"/>
          <w:szCs w:val="22"/>
          <w:lang w:val="en-US"/>
        </w:rPr>
        <w:t>II</w:t>
      </w:r>
      <w:r>
        <w:rPr>
          <w:rFonts w:ascii="Calibri" w:hAnsi="Calibri"/>
          <w:color w:val="000000"/>
          <w:sz w:val="22"/>
          <w:szCs w:val="22"/>
          <w:lang w:val="sr-Cyrl-CS"/>
        </w:rPr>
        <w:tab/>
      </w:r>
      <w:r w:rsidR="00A212BB">
        <w:rPr>
          <w:rFonts w:ascii="Calibri" w:hAnsi="Calibri"/>
          <w:i/>
          <w:color w:val="000000"/>
          <w:sz w:val="22"/>
          <w:szCs w:val="22"/>
          <w:lang w:val="hu-HU"/>
        </w:rPr>
        <w:t>A pályázati kérlemhez az alábbi dokumentációt kell mellékelni</w:t>
      </w:r>
      <w:r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7258DD" w:rsidRPr="007258DD" w:rsidRDefault="007258DD" w:rsidP="009E377E">
      <w:pPr>
        <w:ind w:right="180"/>
        <w:jc w:val="both"/>
        <w:rPr>
          <w:rFonts w:ascii="Calibri" w:hAnsi="Calibri"/>
          <w:i/>
          <w:color w:val="000000"/>
          <w:sz w:val="22"/>
          <w:szCs w:val="22"/>
          <w:lang w:val="hu-HU"/>
        </w:rPr>
      </w:pPr>
    </w:p>
    <w:p w:rsidR="009E377E" w:rsidRDefault="001F2A54" w:rsidP="009E377E">
      <w:pPr>
        <w:numPr>
          <w:ilvl w:val="0"/>
          <w:numId w:val="5"/>
        </w:num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hu-HU"/>
        </w:rPr>
        <w:t xml:space="preserve">egyesületek esetében </w:t>
      </w:r>
      <w:r w:rsidR="00A212BB">
        <w:rPr>
          <w:rFonts w:ascii="Calibri" w:hAnsi="Calibri"/>
          <w:sz w:val="22"/>
          <w:szCs w:val="22"/>
          <w:lang w:val="hu-HU"/>
        </w:rPr>
        <w:t xml:space="preserve">a Gazdasági Regiszterek Ügynökségének nyilvántartásába való </w:t>
      </w:r>
      <w:r>
        <w:rPr>
          <w:rFonts w:ascii="Calibri" w:hAnsi="Calibri"/>
          <w:sz w:val="22"/>
          <w:szCs w:val="22"/>
          <w:lang w:val="hu-HU"/>
        </w:rPr>
        <w:t>bejegyzésről szóló határozat fénymásolata</w:t>
      </w:r>
      <w:r w:rsidR="009E377E">
        <w:rPr>
          <w:rFonts w:ascii="Calibri" w:hAnsi="Calibri"/>
          <w:sz w:val="22"/>
          <w:szCs w:val="22"/>
          <w:lang w:val="ru-RU"/>
        </w:rPr>
        <w:t>,</w:t>
      </w:r>
    </w:p>
    <w:p w:rsidR="009E377E" w:rsidRDefault="001F2A54" w:rsidP="009E377E">
      <w:pPr>
        <w:numPr>
          <w:ilvl w:val="0"/>
          <w:numId w:val="5"/>
        </w:num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hu-HU"/>
        </w:rPr>
        <w:t>az adóazonosító jelről kiadott tanúsítvány fénymásolata</w:t>
      </w:r>
      <w:r w:rsidR="009E377E">
        <w:rPr>
          <w:rFonts w:ascii="Calibri" w:hAnsi="Calibri"/>
          <w:sz w:val="22"/>
          <w:szCs w:val="22"/>
          <w:lang w:val="ru-RU"/>
        </w:rPr>
        <w:t xml:space="preserve">, </w:t>
      </w:r>
    </w:p>
    <w:p w:rsidR="009E377E" w:rsidRDefault="009E377E" w:rsidP="001F2A54">
      <w:pPr>
        <w:ind w:left="465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lastRenderedPageBreak/>
        <w:t xml:space="preserve">3)   </w:t>
      </w:r>
      <w:r w:rsidR="001F2A54">
        <w:rPr>
          <w:rFonts w:ascii="Calibri" w:hAnsi="Calibri"/>
          <w:sz w:val="22"/>
          <w:szCs w:val="22"/>
          <w:lang w:val="hu-HU"/>
        </w:rPr>
        <w:t>az egyesület által hitelesített fénymásolt kivonat az egyesület statútumából vagy alapító okiratából (mely igazolja, hogy az egyesület a pályázatban előirányzott területen valósítja meg céljait).</w:t>
      </w:r>
      <w:r>
        <w:rPr>
          <w:rFonts w:ascii="Calibri" w:hAnsi="Calibri"/>
          <w:sz w:val="22"/>
          <w:szCs w:val="22"/>
          <w:lang w:val="ru-RU"/>
        </w:rPr>
        <w:t xml:space="preserve">  </w:t>
      </w:r>
    </w:p>
    <w:p w:rsidR="009E377E" w:rsidRDefault="009E377E" w:rsidP="009E377E">
      <w:pPr>
        <w:pStyle w:val="ListParagraph"/>
        <w:tabs>
          <w:tab w:val="left" w:pos="810"/>
        </w:tabs>
        <w:ind w:left="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</w:t>
      </w:r>
      <w:r>
        <w:rPr>
          <w:rFonts w:ascii="Calibri" w:hAnsi="Calibri"/>
          <w:sz w:val="22"/>
          <w:szCs w:val="22"/>
          <w:lang w:val="ru-RU"/>
        </w:rPr>
        <w:tab/>
      </w:r>
    </w:p>
    <w:p w:rsidR="009E377E" w:rsidRDefault="001A4346" w:rsidP="009E377E">
      <w:pPr>
        <w:ind w:left="825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titkárság hivatalból szerzi be a jelen szakasz 1. és 2. pontjában említett tényekre vonatkozó adatokat, kivéve, ha a pályázó egyértelműen kijelenti, hogy az említett adatokat önmaga fogja beszerezni.</w:t>
      </w:r>
      <w:r w:rsidR="009E377E">
        <w:rPr>
          <w:rFonts w:ascii="Calibri" w:hAnsi="Calibri"/>
          <w:sz w:val="22"/>
          <w:szCs w:val="22"/>
          <w:lang w:val="ru-RU"/>
        </w:rPr>
        <w:br/>
      </w:r>
    </w:p>
    <w:p w:rsidR="007258DD" w:rsidRPr="007258DD" w:rsidRDefault="007258DD" w:rsidP="009E377E">
      <w:pPr>
        <w:ind w:left="825"/>
        <w:rPr>
          <w:rFonts w:ascii="Calibri" w:hAnsi="Calibri"/>
          <w:sz w:val="22"/>
          <w:szCs w:val="22"/>
          <w:lang w:val="hu-HU"/>
        </w:rPr>
      </w:pPr>
    </w:p>
    <w:p w:rsidR="009E377E" w:rsidRDefault="009E377E" w:rsidP="009E377E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="001A4346">
        <w:rPr>
          <w:rFonts w:ascii="Calibri" w:hAnsi="Calibri"/>
          <w:b/>
          <w:color w:val="000000"/>
          <w:sz w:val="22"/>
          <w:szCs w:val="22"/>
          <w:lang w:val="hu-HU"/>
        </w:rPr>
        <w:t>A KÉRELMEK ELBÍRÁLÁSA ÉS A PÁLYÁZÁS MÓDJA</w:t>
      </w:r>
    </w:p>
    <w:p w:rsidR="007258DD" w:rsidRPr="007258DD" w:rsidRDefault="007258DD" w:rsidP="009E377E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</w:p>
    <w:p w:rsidR="009E377E" w:rsidRDefault="001A4346" w:rsidP="009E377E">
      <w:pPr>
        <w:ind w:left="-180" w:right="180" w:firstLine="90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eszközök odaítéléséről az oktatásügyekkel megbízott tartományi titkár dönt, a beérkezett pályázati kérelmeket megvitató pályázati különbizottság javaslata alapján. A Titkárság fenntartja a jogát, hogy szükség szerint a kérelmezőtől kiegészítő dokumentációt vagy tájékoztatást kérjen.</w:t>
      </w:r>
      <w:r w:rsidR="009E377E">
        <w:rPr>
          <w:rFonts w:ascii="Calibri" w:hAnsi="Calibri"/>
          <w:sz w:val="22"/>
          <w:szCs w:val="22"/>
          <w:lang w:val="ru-RU"/>
        </w:rPr>
        <w:t xml:space="preserve"> </w:t>
      </w:r>
    </w:p>
    <w:p w:rsidR="00BB23C0" w:rsidRPr="00BB23C0" w:rsidRDefault="00BB23C0" w:rsidP="009E377E">
      <w:pPr>
        <w:ind w:left="-180" w:right="180" w:firstLine="900"/>
        <w:jc w:val="both"/>
        <w:rPr>
          <w:rFonts w:ascii="Calibri" w:hAnsi="Calibri"/>
          <w:sz w:val="22"/>
          <w:szCs w:val="22"/>
          <w:lang w:val="hu-HU"/>
        </w:rPr>
      </w:pPr>
    </w:p>
    <w:p w:rsidR="009E377E" w:rsidRDefault="001A4346" w:rsidP="009E377E">
      <w:pPr>
        <w:ind w:left="-180" w:right="180" w:firstLine="90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 pályázati kérelmeket írásban kell benyújtani a Titkárság </w:t>
      </w:r>
      <w:r w:rsidR="00BB23C0">
        <w:rPr>
          <w:rFonts w:ascii="Calibri" w:hAnsi="Calibri"/>
          <w:sz w:val="22"/>
          <w:szCs w:val="22"/>
          <w:lang w:val="hu-HU"/>
        </w:rPr>
        <w:t xml:space="preserve">honlapján közzétett egységes formanyomtatványon. </w:t>
      </w:r>
      <w:r w:rsidR="00BB23C0">
        <w:rPr>
          <w:rFonts w:ascii="Calibri" w:hAnsi="Calibri"/>
          <w:b/>
          <w:sz w:val="22"/>
          <w:szCs w:val="22"/>
          <w:lang w:val="hu-HU"/>
        </w:rPr>
        <w:t xml:space="preserve">Egy jogi személy legfeljebb két pályázati kérelmet nyújthat be. </w:t>
      </w:r>
      <w:r w:rsidR="00BB23C0">
        <w:rPr>
          <w:rFonts w:ascii="Calibri" w:hAnsi="Calibri"/>
          <w:sz w:val="22"/>
          <w:szCs w:val="22"/>
          <w:lang w:val="hu-HU"/>
        </w:rPr>
        <w:t>A pályázati eredményeket a Titkárság honlapján tesszük közzé.</w:t>
      </w:r>
    </w:p>
    <w:p w:rsidR="00BB23C0" w:rsidRDefault="00BB23C0" w:rsidP="009E377E">
      <w:pPr>
        <w:ind w:left="-180" w:right="180" w:firstLine="900"/>
        <w:jc w:val="both"/>
        <w:rPr>
          <w:rFonts w:ascii="Calibri" w:hAnsi="Calibri"/>
          <w:sz w:val="22"/>
          <w:szCs w:val="22"/>
          <w:lang w:val="sr-Latn-RS"/>
        </w:rPr>
      </w:pPr>
    </w:p>
    <w:p w:rsidR="009E377E" w:rsidRPr="00BB23C0" w:rsidRDefault="00BB23C0" w:rsidP="009E377E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  <w:r>
        <w:rPr>
          <w:rFonts w:ascii="Calibri" w:hAnsi="Calibri"/>
          <w:b/>
          <w:sz w:val="22"/>
          <w:szCs w:val="22"/>
          <w:u w:val="single"/>
          <w:lang w:val="sr-Latn-RS"/>
        </w:rPr>
        <w:t>A pályázati kérelmek benyújtási határideje 2017. március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 3</w:t>
      </w:r>
      <w:r>
        <w:rPr>
          <w:rFonts w:ascii="Calibri" w:hAnsi="Calibri"/>
          <w:b/>
          <w:sz w:val="22"/>
          <w:szCs w:val="22"/>
          <w:u w:val="single"/>
          <w:lang w:val="hu-HU"/>
        </w:rPr>
        <w:t>.</w:t>
      </w:r>
    </w:p>
    <w:p w:rsidR="009E377E" w:rsidRDefault="00BB23C0" w:rsidP="00BB23C0">
      <w:pPr>
        <w:ind w:left="-180" w:right="180" w:firstLine="90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A szükséges dokumentációval ellátott pályázati kérelmeket az alábbi címre kell elküldeni: </w:t>
      </w:r>
      <w:r w:rsidRPr="00BB23C0">
        <w:rPr>
          <w:rFonts w:ascii="Calibri" w:hAnsi="Calibri"/>
          <w:sz w:val="22"/>
          <w:szCs w:val="22"/>
          <w:lang w:val="sr-Cyrl-CS"/>
        </w:rPr>
        <w:t>Pokrajinski sekretarijat za obrazovanje, propise, upravu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BB23C0">
        <w:rPr>
          <w:rFonts w:ascii="Calibri" w:hAnsi="Calibri"/>
          <w:sz w:val="22"/>
          <w:szCs w:val="22"/>
          <w:lang w:val="sr-Cyrl-CS"/>
        </w:rPr>
        <w:t>i nacionaln</w:t>
      </w:r>
      <w:r>
        <w:rPr>
          <w:rFonts w:ascii="Calibri" w:hAnsi="Calibri"/>
          <w:sz w:val="22"/>
          <w:szCs w:val="22"/>
          <w:lang w:val="sr-Cyrl-CS"/>
        </w:rPr>
        <w:t>e manjine - nacionale zajednice</w:t>
      </w:r>
      <w:r>
        <w:rPr>
          <w:rFonts w:ascii="Calibri" w:hAnsi="Calibri"/>
          <w:sz w:val="22"/>
          <w:szCs w:val="22"/>
          <w:lang w:val="hu-HU"/>
        </w:rPr>
        <w:t xml:space="preserve">, </w:t>
      </w:r>
      <w:r w:rsidRPr="00BB23C0">
        <w:rPr>
          <w:rFonts w:ascii="Calibri" w:hAnsi="Calibri"/>
          <w:sz w:val="22"/>
          <w:szCs w:val="22"/>
          <w:lang w:val="sr-Cyrl-CS"/>
        </w:rPr>
        <w:t>„Konkurs za sufinansiranje programa i projekata u oblasti osnovnog i srednjeg obrazovanja u AP Vojvodini“</w:t>
      </w:r>
      <w:r>
        <w:rPr>
          <w:rFonts w:ascii="Calibri" w:hAnsi="Calibri"/>
          <w:sz w:val="22"/>
          <w:szCs w:val="22"/>
          <w:lang w:val="hu-HU"/>
        </w:rPr>
        <w:t xml:space="preserve">, </w:t>
      </w:r>
      <w:r w:rsidRPr="00BB23C0">
        <w:rPr>
          <w:rFonts w:ascii="Calibri" w:hAnsi="Calibri"/>
          <w:sz w:val="22"/>
          <w:szCs w:val="22"/>
          <w:lang w:val="sr-Cyrl-CS"/>
        </w:rPr>
        <w:t>Bulevar Mihajla Pupina 16</w:t>
      </w:r>
      <w:r>
        <w:rPr>
          <w:rFonts w:ascii="Calibri" w:hAnsi="Calibri"/>
          <w:sz w:val="22"/>
          <w:szCs w:val="22"/>
          <w:lang w:val="hu-HU"/>
        </w:rPr>
        <w:t xml:space="preserve">, </w:t>
      </w:r>
      <w:r w:rsidRPr="00BB23C0">
        <w:rPr>
          <w:rFonts w:ascii="Calibri" w:hAnsi="Calibri"/>
          <w:sz w:val="22"/>
          <w:szCs w:val="22"/>
          <w:lang w:val="sr-Cyrl-CS"/>
        </w:rPr>
        <w:t>21000 Novi Sad</w:t>
      </w:r>
      <w:r>
        <w:rPr>
          <w:rFonts w:ascii="Calibri" w:hAnsi="Calibri"/>
          <w:sz w:val="22"/>
          <w:szCs w:val="22"/>
          <w:lang w:val="hu-HU"/>
        </w:rPr>
        <w:t>.</w:t>
      </w:r>
    </w:p>
    <w:p w:rsidR="00BB23C0" w:rsidRDefault="00BB23C0" w:rsidP="00BB23C0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9E377E" w:rsidRDefault="009E377E" w:rsidP="009E377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</w:t>
      </w:r>
      <w:r w:rsidR="00BB23C0">
        <w:rPr>
          <w:rFonts w:ascii="Calibri" w:hAnsi="Calibri"/>
          <w:sz w:val="22"/>
          <w:szCs w:val="22"/>
          <w:lang w:val="hu-HU"/>
        </w:rPr>
        <w:t>A különbizottság nem veszi figyelembe:</w:t>
      </w:r>
    </w:p>
    <w:p w:rsidR="009E377E" w:rsidRDefault="00BB23C0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hiányos kérelmeket</w:t>
      </w:r>
      <w:r w:rsidR="009E377E">
        <w:rPr>
          <w:rFonts w:ascii="Calibri" w:hAnsi="Calibri"/>
          <w:sz w:val="22"/>
          <w:szCs w:val="22"/>
          <w:lang w:val="sr-Cyrl-RS"/>
        </w:rPr>
        <w:t>,</w:t>
      </w:r>
      <w:r w:rsidR="009E377E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E377E" w:rsidRDefault="00BB23C0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késve érkező kérelmeket,</w:t>
      </w:r>
      <w:r w:rsidR="009E377E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E377E" w:rsidRDefault="00BB23C0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megengedhetetlen kérelmeket</w:t>
      </w:r>
      <w:r w:rsidR="009E377E"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hu-HU"/>
        </w:rPr>
        <w:t>melyeket jogosulatlan személyek nyújtanak be vagy a pályázatban nem szereplő alanyok írtak alá)</w:t>
      </w:r>
      <w:r w:rsidR="009E377E">
        <w:rPr>
          <w:rFonts w:ascii="Calibri" w:hAnsi="Calibri"/>
          <w:sz w:val="22"/>
          <w:szCs w:val="22"/>
          <w:lang w:val="sr-Cyrl-CS"/>
        </w:rPr>
        <w:t>,</w:t>
      </w:r>
    </w:p>
    <w:p w:rsidR="009E377E" w:rsidRDefault="002A5483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pályázatban előirányzott rendeltetésnek nem megfelelő kérelmeket</w:t>
      </w:r>
      <w:r w:rsidR="009E377E">
        <w:rPr>
          <w:rFonts w:ascii="Calibri" w:hAnsi="Calibri"/>
          <w:sz w:val="22"/>
          <w:szCs w:val="22"/>
          <w:lang w:val="sr-Cyrl-CS"/>
        </w:rPr>
        <w:t xml:space="preserve">,  </w:t>
      </w:r>
    </w:p>
    <w:p w:rsidR="009E377E" w:rsidRDefault="002A5483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olyan pályázók kérelmeit, akik az elmúlt időszakban nem igazolták az odaítélt eszközök felhasználását pénzügyi és narratív beszámolóval</w:t>
      </w:r>
      <w:r w:rsidR="009E377E">
        <w:rPr>
          <w:rFonts w:ascii="Calibri" w:hAnsi="Calibri"/>
          <w:sz w:val="22"/>
          <w:szCs w:val="22"/>
          <w:lang w:val="sr-Cyrl-CS"/>
        </w:rPr>
        <w:t>,</w:t>
      </w:r>
    </w:p>
    <w:p w:rsidR="009E377E" w:rsidRPr="002A5483" w:rsidRDefault="002A5483" w:rsidP="009E377E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azokat a programokat, illetve projekteket, amelyek nagyobb részének a megvalósítása nem lehetséges a folyó költségvetési évben.</w:t>
      </w:r>
    </w:p>
    <w:p w:rsidR="002A5483" w:rsidRDefault="002A5483" w:rsidP="002A5483">
      <w:pPr>
        <w:ind w:left="720"/>
        <w:jc w:val="both"/>
        <w:rPr>
          <w:rFonts w:ascii="Calibri" w:hAnsi="Calibri"/>
          <w:sz w:val="22"/>
          <w:szCs w:val="22"/>
          <w:lang w:val="sr-Cyrl-CS"/>
        </w:rPr>
      </w:pPr>
    </w:p>
    <w:p w:rsidR="009E377E" w:rsidRPr="002A5483" w:rsidRDefault="002A5483" w:rsidP="009E377E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 xml:space="preserve">A formanyomtatvány a mellékletekkel együtt </w:t>
      </w:r>
      <w:r>
        <w:rPr>
          <w:rFonts w:ascii="Calibri" w:hAnsi="Calibri"/>
          <w:b/>
          <w:sz w:val="22"/>
          <w:szCs w:val="22"/>
          <w:u w:val="single"/>
          <w:lang w:val="hu-HU"/>
        </w:rPr>
        <w:t>2017. február 13-tól</w:t>
      </w:r>
      <w:r>
        <w:rPr>
          <w:rFonts w:ascii="Calibri" w:hAnsi="Calibri"/>
          <w:b/>
          <w:sz w:val="22"/>
          <w:szCs w:val="22"/>
          <w:lang w:val="hu-H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 xml:space="preserve">a Titkárság </w:t>
      </w:r>
      <w:hyperlink r:id="rId8" w:history="1">
        <w:r w:rsidR="009E377E">
          <w:rPr>
            <w:rStyle w:val="Hyperlink"/>
            <w:rFonts w:ascii="Calibri" w:hAnsi="Calibri"/>
            <w:b/>
            <w:color w:val="auto"/>
            <w:sz w:val="22"/>
            <w:szCs w:val="22"/>
            <w:lang w:val="sr-Latn-RS"/>
          </w:rPr>
          <w:t>www.puma.vojvodina.gov.rs</w:t>
        </w:r>
      </w:hyperlink>
      <w:r w:rsidR="009E377E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2A5483">
        <w:rPr>
          <w:rFonts w:ascii="Calibri" w:hAnsi="Calibri"/>
          <w:sz w:val="22"/>
          <w:szCs w:val="22"/>
          <w:lang w:val="sr-Latn-RS"/>
        </w:rPr>
        <w:t>hivatalos honlapjáról tölthető le.</w:t>
      </w:r>
    </w:p>
    <w:p w:rsidR="009E377E" w:rsidRDefault="009E377E" w:rsidP="009E377E">
      <w:p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9E377E" w:rsidRDefault="009E377E" w:rsidP="009E377E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sr-Cyrl-CS"/>
        </w:rPr>
        <w:t>ПОКРАЈИНСКИ СЕКРЕТАР</w:t>
      </w:r>
    </w:p>
    <w:p w:rsidR="009E377E" w:rsidRDefault="009E377E" w:rsidP="009E377E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sr-Latn-RS"/>
        </w:rPr>
        <w:t>Nyilas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Mih</w:t>
      </w:r>
      <w:r>
        <w:rPr>
          <w:rFonts w:ascii="Calibri" w:hAnsi="Calibri"/>
          <w:sz w:val="22"/>
          <w:szCs w:val="22"/>
          <w:lang w:val="hu-HU"/>
        </w:rPr>
        <w:t>ály</w:t>
      </w:r>
    </w:p>
    <w:p w:rsidR="009E377E" w:rsidRDefault="009E377E" w:rsidP="009E377E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 </w:t>
      </w:r>
    </w:p>
    <w:p w:rsidR="00272B63" w:rsidRDefault="009E377E" w:rsidP="002A5483">
      <w:pPr>
        <w:ind w:right="180"/>
        <w:jc w:val="both"/>
      </w:pPr>
      <w:r>
        <w:rPr>
          <w:rFonts w:ascii="Calibri" w:hAnsi="Calibri"/>
          <w:sz w:val="22"/>
          <w:szCs w:val="22"/>
          <w:lang w:val="sr-Cyrl-CS"/>
        </w:rPr>
        <w:t xml:space="preserve">   </w:t>
      </w:r>
      <w:r>
        <w:rPr>
          <w:rFonts w:ascii="Calibri" w:hAnsi="Calibri"/>
          <w:sz w:val="22"/>
          <w:szCs w:val="22"/>
          <w:lang w:val="sr-Latn-RS"/>
        </w:rPr>
        <w:t xml:space="preserve">                                                                                                       </w:t>
      </w:r>
    </w:p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1A4346"/>
    <w:rsid w:val="001F2A3F"/>
    <w:rsid w:val="001F2A54"/>
    <w:rsid w:val="00272B63"/>
    <w:rsid w:val="002A5483"/>
    <w:rsid w:val="005A2582"/>
    <w:rsid w:val="007258DD"/>
    <w:rsid w:val="00810115"/>
    <w:rsid w:val="00956BED"/>
    <w:rsid w:val="009E377E"/>
    <w:rsid w:val="00A212BB"/>
    <w:rsid w:val="00BB23C0"/>
    <w:rsid w:val="00C273A4"/>
    <w:rsid w:val="00F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377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9E3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377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9E3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05CC-8D41-4B4B-A3F1-F81F5495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Djerdji Erdeg</cp:lastModifiedBy>
  <cp:revision>2</cp:revision>
  <dcterms:created xsi:type="dcterms:W3CDTF">2017-02-09T10:14:00Z</dcterms:created>
  <dcterms:modified xsi:type="dcterms:W3CDTF">2017-02-09T10:14:00Z</dcterms:modified>
</cp:coreProperties>
</file>