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62" w:rsidRPr="00857A79" w:rsidRDefault="00584962" w:rsidP="00584962">
      <w:pPr>
        <w:spacing w:after="0" w:line="240" w:lineRule="auto"/>
        <w:jc w:val="both"/>
        <w:rPr>
          <w:rFonts w:cstheme="minorHAnsi"/>
          <w:b/>
          <w:sz w:val="24"/>
          <w:szCs w:val="24"/>
          <w:lang w:val="hu-HU"/>
        </w:rPr>
      </w:pPr>
    </w:p>
    <w:p w:rsidR="00584962" w:rsidRPr="00857A79" w:rsidRDefault="00584962" w:rsidP="00584962">
      <w:pPr>
        <w:spacing w:after="0" w:line="240" w:lineRule="auto"/>
        <w:ind w:firstLine="720"/>
        <w:jc w:val="both"/>
        <w:rPr>
          <w:rFonts w:cstheme="minorHAnsi"/>
          <w:lang w:val="hu-HU"/>
        </w:rPr>
      </w:pPr>
      <w:r w:rsidRPr="00857A79">
        <w:rPr>
          <w:rFonts w:cstheme="minorHAnsi"/>
          <w:lang w:val="hu-HU"/>
        </w:rPr>
        <w:t>A Dr. Đorđe Natošević-elismerés odaítéléséről szóló határozat (Vajdaság AT Hivatalos Lapja, 8/01., 10/10. és 37/14. szám) 6. szakaszának 1. bekezdése és 9. szakaszának alapján, a Tartományi Oktatási, Jogalkotási, Közigazgatási és Nemzeti Kisebbségi – Nemzeti Közösségi Titkárság</w:t>
      </w:r>
    </w:p>
    <w:p w:rsidR="00584962" w:rsidRPr="00857A79" w:rsidRDefault="00584962" w:rsidP="00584962">
      <w:pPr>
        <w:spacing w:after="0" w:line="240" w:lineRule="auto"/>
        <w:jc w:val="both"/>
        <w:rPr>
          <w:rFonts w:cstheme="minorHAnsi"/>
          <w:lang w:val="hu-HU"/>
        </w:rPr>
      </w:pPr>
    </w:p>
    <w:p w:rsidR="00584962" w:rsidRPr="00857A79" w:rsidRDefault="00584962" w:rsidP="00584962">
      <w:pPr>
        <w:spacing w:after="0" w:line="240" w:lineRule="auto"/>
        <w:jc w:val="center"/>
        <w:rPr>
          <w:rFonts w:cstheme="minorHAnsi"/>
          <w:b/>
          <w:lang w:val="hu-HU"/>
        </w:rPr>
      </w:pPr>
      <w:r w:rsidRPr="00857A79">
        <w:rPr>
          <w:rFonts w:cstheme="minorHAnsi"/>
          <w:b/>
          <w:lang w:val="hu-HU"/>
        </w:rPr>
        <w:t>P Á L Y Á Z A T O T</w:t>
      </w:r>
    </w:p>
    <w:p w:rsidR="00584962" w:rsidRPr="00857A79" w:rsidRDefault="00584962" w:rsidP="00584962">
      <w:pPr>
        <w:spacing w:after="0" w:line="240" w:lineRule="auto"/>
        <w:jc w:val="center"/>
        <w:rPr>
          <w:rFonts w:cstheme="minorHAnsi"/>
          <w:lang w:val="hu-HU"/>
        </w:rPr>
      </w:pPr>
      <w:r w:rsidRPr="00857A79">
        <w:rPr>
          <w:rFonts w:cstheme="minorHAnsi"/>
          <w:lang w:val="hu-HU"/>
        </w:rPr>
        <w:t>h i r d e t</w:t>
      </w:r>
    </w:p>
    <w:p w:rsidR="00584962" w:rsidRPr="00857A79" w:rsidRDefault="00584962" w:rsidP="00584962">
      <w:pPr>
        <w:spacing w:after="0" w:line="240" w:lineRule="auto"/>
        <w:jc w:val="center"/>
        <w:rPr>
          <w:rFonts w:cstheme="minorHAnsi"/>
          <w:b/>
          <w:lang w:val="hu-HU"/>
        </w:rPr>
      </w:pPr>
      <w:r w:rsidRPr="00857A79">
        <w:rPr>
          <w:rFonts w:cstheme="minorHAnsi"/>
          <w:b/>
          <w:lang w:val="hu-HU"/>
        </w:rPr>
        <w:t>a Dr. Đorđe Natošević-elismerés 2017/2018. tanévben való odaítélésére</w:t>
      </w:r>
    </w:p>
    <w:p w:rsidR="00584962" w:rsidRPr="00857A79" w:rsidRDefault="00584962" w:rsidP="00584962">
      <w:pPr>
        <w:spacing w:after="0" w:line="240" w:lineRule="auto"/>
        <w:jc w:val="center"/>
        <w:rPr>
          <w:rFonts w:cstheme="minorHAnsi"/>
          <w:b/>
          <w:lang w:val="hu-HU"/>
        </w:rPr>
      </w:pPr>
    </w:p>
    <w:p w:rsidR="00584962" w:rsidRPr="00857A79" w:rsidRDefault="00584962" w:rsidP="00584962">
      <w:pPr>
        <w:spacing w:after="0" w:line="240" w:lineRule="auto"/>
        <w:jc w:val="center"/>
        <w:rPr>
          <w:rFonts w:cstheme="minorHAnsi"/>
          <w:b/>
          <w:lang w:val="hu-HU"/>
        </w:rPr>
      </w:pPr>
      <w:r w:rsidRPr="00857A79">
        <w:rPr>
          <w:rFonts w:cstheme="minorHAnsi"/>
          <w:b/>
          <w:lang w:val="hu-HU"/>
        </w:rPr>
        <w:t>I.</w:t>
      </w:r>
    </w:p>
    <w:p w:rsidR="00584962" w:rsidRPr="00857A79" w:rsidRDefault="00584962" w:rsidP="00584962">
      <w:pPr>
        <w:spacing w:after="0" w:line="240" w:lineRule="auto"/>
        <w:ind w:firstLine="720"/>
        <w:jc w:val="both"/>
        <w:rPr>
          <w:rFonts w:cstheme="minorHAnsi"/>
          <w:lang w:val="hu-HU"/>
        </w:rPr>
      </w:pPr>
      <w:r w:rsidRPr="00857A79">
        <w:rPr>
          <w:rFonts w:cstheme="minorHAnsi"/>
          <w:lang w:val="hu-HU"/>
        </w:rPr>
        <w:t>A Dr. Đorđe Natošević-elismerés (a továbbiakban: Elismerés) odaítélésére meghirdetett pályázaton a Vajdaság Autonóm Tartomány területén székhellyel rendelkező iskoláskor előtti intézmények, általános iskolák, középiskolák, zeneiskolák, balettiskolák, művészeti iskolák, a fogyaték</w:t>
      </w:r>
      <w:r>
        <w:rPr>
          <w:rFonts w:cstheme="minorHAnsi"/>
          <w:lang w:val="hu-HU"/>
        </w:rPr>
        <w:t>ossággal</w:t>
      </w:r>
      <w:r w:rsidRPr="00857A79">
        <w:rPr>
          <w:rFonts w:cstheme="minorHAnsi"/>
          <w:lang w:val="hu-HU"/>
        </w:rPr>
        <w:t xml:space="preserve"> élő gyermekek általános és középfokú oktatását </w:t>
      </w:r>
      <w:r>
        <w:rPr>
          <w:rFonts w:cstheme="minorHAnsi"/>
          <w:lang w:val="hu-HU"/>
        </w:rPr>
        <w:t>végző</w:t>
      </w:r>
      <w:r w:rsidRPr="00857A79">
        <w:rPr>
          <w:rFonts w:cstheme="minorHAnsi"/>
          <w:lang w:val="hu-HU"/>
        </w:rPr>
        <w:t xml:space="preserve"> iskolák, valamint az eze</w:t>
      </w:r>
      <w:r>
        <w:rPr>
          <w:rFonts w:cstheme="minorHAnsi"/>
          <w:lang w:val="hu-HU"/>
        </w:rPr>
        <w:t>kben az</w:t>
      </w:r>
      <w:r w:rsidRPr="00857A79">
        <w:rPr>
          <w:rFonts w:cstheme="minorHAnsi"/>
          <w:lang w:val="hu-HU"/>
        </w:rPr>
        <w:t xml:space="preserve"> intézményekben foglalkoztatott nevelők, tanárok, szakmunkatársak és munkatársak</w:t>
      </w:r>
      <w:r>
        <w:rPr>
          <w:rFonts w:cstheme="minorHAnsi"/>
          <w:lang w:val="hu-HU"/>
        </w:rPr>
        <w:t xml:space="preserve"> jogosultak részt venni</w:t>
      </w:r>
      <w:r w:rsidRPr="00857A79">
        <w:rPr>
          <w:rFonts w:cstheme="minorHAnsi"/>
          <w:lang w:val="hu-HU"/>
        </w:rPr>
        <w:t>, az ezen intézményekben foglalkoztatott szakmunkatársak munkaprogramjáról szóló szabályzattal összhangban.</w:t>
      </w:r>
    </w:p>
    <w:p w:rsidR="00584962" w:rsidRPr="00857A79" w:rsidRDefault="00584962" w:rsidP="00584962">
      <w:pPr>
        <w:spacing w:after="0" w:line="240" w:lineRule="auto"/>
        <w:ind w:firstLine="720"/>
        <w:jc w:val="both"/>
        <w:rPr>
          <w:rFonts w:cstheme="minorHAnsi"/>
          <w:lang w:val="hu-HU"/>
        </w:rPr>
      </w:pPr>
      <w:r w:rsidRPr="00857A79">
        <w:rPr>
          <w:rFonts w:cstheme="minorHAnsi"/>
          <w:lang w:val="hu-HU"/>
        </w:rPr>
        <w:t xml:space="preserve">A pályázati jelentkezést </w:t>
      </w:r>
      <w:r>
        <w:rPr>
          <w:rFonts w:cstheme="minorHAnsi"/>
          <w:lang w:val="hu-HU"/>
        </w:rPr>
        <w:t>be</w:t>
      </w:r>
      <w:r w:rsidRPr="00857A79">
        <w:rPr>
          <w:rFonts w:cstheme="minorHAnsi"/>
          <w:lang w:val="hu-HU"/>
        </w:rPr>
        <w:t xml:space="preserve">nyújthatják önállóan az iskoláskor előtti intézmények, az általános iskolák és a középiskolák, zeneiskolák, balettiskolák, művészeti iskolák és a fogyatékkal élő gyermekek általános és középfokú oktatását </w:t>
      </w:r>
      <w:r>
        <w:rPr>
          <w:rFonts w:cstheme="minorHAnsi"/>
          <w:lang w:val="hu-HU"/>
        </w:rPr>
        <w:t>végző</w:t>
      </w:r>
      <w:r w:rsidRPr="00857A79">
        <w:rPr>
          <w:rFonts w:cstheme="minorHAnsi"/>
          <w:lang w:val="hu-HU"/>
        </w:rPr>
        <w:t xml:space="preserve"> iskolák, az ezen intézmények tanárai, nevelői, szakmunkatársai és munkatársai, vagy előterjeszthetik őket ezen Elismerés odaítélésére a tanulók, a szülők, a helyi önkormányzati szervek, szakmai egyesületek és más jogi és természetes személyek.</w:t>
      </w:r>
    </w:p>
    <w:p w:rsidR="00584962" w:rsidRPr="00857A79" w:rsidRDefault="00584962" w:rsidP="00584962">
      <w:pPr>
        <w:spacing w:after="0" w:line="240" w:lineRule="auto"/>
        <w:ind w:firstLine="720"/>
        <w:jc w:val="both"/>
        <w:rPr>
          <w:rFonts w:cstheme="minorHAnsi"/>
          <w:lang w:val="hu-HU"/>
        </w:rPr>
      </w:pPr>
      <w:r w:rsidRPr="00857A79">
        <w:rPr>
          <w:rFonts w:cstheme="minorHAnsi"/>
          <w:lang w:val="hu-HU"/>
        </w:rPr>
        <w:t>A pályázat rész</w:t>
      </w:r>
      <w:r>
        <w:rPr>
          <w:rFonts w:cstheme="minorHAnsi"/>
          <w:lang w:val="hu-HU"/>
        </w:rPr>
        <w:t>t</w:t>
      </w:r>
      <w:r w:rsidRPr="00857A79">
        <w:rPr>
          <w:rFonts w:cstheme="minorHAnsi"/>
          <w:lang w:val="hu-HU"/>
        </w:rPr>
        <w:t>vevőjének, illetve az előterjesztőnek be kell nyújtania a pályázati feltételek teljesítéséről szóló bizonyítékokat.</w:t>
      </w:r>
    </w:p>
    <w:p w:rsidR="00584962" w:rsidRPr="00857A79" w:rsidRDefault="00584962" w:rsidP="00584962">
      <w:pPr>
        <w:spacing w:after="0" w:line="240" w:lineRule="auto"/>
        <w:ind w:firstLine="720"/>
        <w:jc w:val="both"/>
        <w:rPr>
          <w:rFonts w:cstheme="minorHAnsi"/>
          <w:lang w:val="hu-HU"/>
        </w:rPr>
      </w:pPr>
      <w:r w:rsidRPr="00857A79">
        <w:rPr>
          <w:rFonts w:cstheme="minorHAnsi"/>
          <w:lang w:val="hu-HU"/>
        </w:rPr>
        <w:t>A feltételek teljesítéséről szóló bizonyítékokat és a mellékleteket a jelentkezés mellett a beterjesztőnek teljes egészében meg</w:t>
      </w:r>
      <w:r>
        <w:rPr>
          <w:rFonts w:cstheme="minorHAnsi"/>
          <w:lang w:val="hu-HU"/>
        </w:rPr>
        <w:t xml:space="preserve"> kell </w:t>
      </w:r>
      <w:r w:rsidRPr="00857A79">
        <w:rPr>
          <w:rFonts w:cstheme="minorHAnsi"/>
          <w:lang w:val="hu-HU"/>
        </w:rPr>
        <w:t>küldenie</w:t>
      </w:r>
      <w:r w:rsidRPr="00857A79">
        <w:rPr>
          <w:rFonts w:cstheme="minorHAnsi"/>
          <w:lang w:val="hu-HU"/>
        </w:rPr>
        <w:t xml:space="preserve"> </w:t>
      </w:r>
      <w:r w:rsidRPr="00857A79">
        <w:rPr>
          <w:rFonts w:cstheme="minorHAnsi"/>
          <w:lang w:val="hu-HU"/>
        </w:rPr>
        <w:t>elektronikus formában (legfeljebb 3 DVD vagy 5 CD terjedelemben).</w:t>
      </w:r>
    </w:p>
    <w:p w:rsidR="00584962" w:rsidRPr="00857A79" w:rsidRDefault="00584962" w:rsidP="00584962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hu-HU"/>
        </w:rPr>
      </w:pPr>
    </w:p>
    <w:p w:rsidR="00584962" w:rsidRPr="00857A79" w:rsidRDefault="00584962" w:rsidP="00584962">
      <w:pPr>
        <w:spacing w:after="0" w:line="240" w:lineRule="auto"/>
        <w:jc w:val="center"/>
        <w:rPr>
          <w:rFonts w:cstheme="minorHAnsi"/>
          <w:b/>
          <w:lang w:val="hu-HU"/>
        </w:rPr>
      </w:pPr>
      <w:r w:rsidRPr="00857A79">
        <w:rPr>
          <w:rFonts w:cstheme="minorHAnsi"/>
          <w:b/>
          <w:lang w:val="hu-HU"/>
        </w:rPr>
        <w:t>II.</w:t>
      </w:r>
    </w:p>
    <w:p w:rsidR="00584962" w:rsidRPr="00857A79" w:rsidRDefault="00584962" w:rsidP="00584962">
      <w:pPr>
        <w:spacing w:after="0" w:line="240" w:lineRule="auto"/>
        <w:jc w:val="both"/>
        <w:rPr>
          <w:rFonts w:cstheme="minorHAnsi"/>
          <w:b/>
          <w:sz w:val="24"/>
          <w:szCs w:val="24"/>
          <w:lang w:val="hu-HU"/>
        </w:rPr>
      </w:pPr>
    </w:p>
    <w:p w:rsidR="00584962" w:rsidRPr="00857A79" w:rsidRDefault="00584962" w:rsidP="00584962">
      <w:pPr>
        <w:spacing w:after="0" w:line="240" w:lineRule="auto"/>
        <w:ind w:firstLine="720"/>
        <w:jc w:val="both"/>
        <w:rPr>
          <w:rFonts w:cstheme="minorHAnsi"/>
          <w:lang w:val="hu-HU"/>
        </w:rPr>
      </w:pPr>
      <w:r>
        <w:rPr>
          <w:rFonts w:cstheme="minorHAnsi"/>
          <w:lang w:val="hu-HU"/>
        </w:rPr>
        <w:t>Az Elismerés</w:t>
      </w:r>
      <w:r w:rsidRPr="00857A79">
        <w:rPr>
          <w:rFonts w:cstheme="minorHAnsi"/>
          <w:lang w:val="hu-HU"/>
        </w:rPr>
        <w:t xml:space="preserve"> az előző két tanév folyamán az oktató-nevelő munkában és a tanítás során a korszerű módszerek alkalmazásával elért kiváló eredményekért </w:t>
      </w:r>
      <w:r>
        <w:rPr>
          <w:rFonts w:cstheme="minorHAnsi"/>
          <w:lang w:val="hu-HU"/>
        </w:rPr>
        <w:t>kerül odaítélésre</w:t>
      </w:r>
      <w:bookmarkStart w:id="0" w:name="_GoBack"/>
      <w:bookmarkEnd w:id="0"/>
      <w:r w:rsidRPr="00857A79">
        <w:rPr>
          <w:rFonts w:cstheme="minorHAnsi"/>
          <w:lang w:val="hu-HU"/>
        </w:rPr>
        <w:t xml:space="preserve"> a következő területeken: az iskoláskor előtti nevelés és oktatás, a tanítás, az iskoláskor előtti tehetséges gyermekekkel és a tehetséges tanulókkal folytatott munka, valamint a nevelő-oktató munka tartalmainak és a tananyag tartalmainak elsajátításában</w:t>
      </w:r>
      <w:r>
        <w:rPr>
          <w:rFonts w:cstheme="minorHAnsi"/>
          <w:lang w:val="hu-HU"/>
        </w:rPr>
        <w:t xml:space="preserve"> felzárkóztatást igénylő tanulókkal folytatott munka</w:t>
      </w:r>
      <w:r w:rsidRPr="00857A79">
        <w:rPr>
          <w:rFonts w:cstheme="minorHAnsi"/>
          <w:lang w:val="hu-HU"/>
        </w:rPr>
        <w:t>, az iskoláskor előtti gyermekekkel és tanulókkal végzett szabad tevékenység, a nevelők, a tanárok, a szakmunkatársak és munkatársak szakmai továbbké</w:t>
      </w:r>
      <w:r>
        <w:rPr>
          <w:rFonts w:cstheme="minorHAnsi"/>
          <w:lang w:val="hu-HU"/>
        </w:rPr>
        <w:t>pzése, a tanulók pályaválasztására irányuló munka</w:t>
      </w:r>
      <w:r w:rsidRPr="00857A79">
        <w:rPr>
          <w:rFonts w:cstheme="minorHAnsi"/>
          <w:lang w:val="hu-HU"/>
        </w:rPr>
        <w:t xml:space="preserve">, a szülőkkel való együttműködés, a </w:t>
      </w:r>
      <w:r>
        <w:rPr>
          <w:rFonts w:cstheme="minorHAnsi"/>
          <w:lang w:val="hu-HU"/>
        </w:rPr>
        <w:t>művelődés és közszolgálat terén kifejtett</w:t>
      </w:r>
      <w:r w:rsidRPr="00857A79">
        <w:rPr>
          <w:rFonts w:cstheme="minorHAnsi"/>
          <w:lang w:val="hu-HU"/>
        </w:rPr>
        <w:t xml:space="preserve"> tevékenység és a szűkebb és tágabb társadalmi </w:t>
      </w:r>
      <w:r>
        <w:rPr>
          <w:rFonts w:cstheme="minorHAnsi"/>
          <w:lang w:val="hu-HU"/>
        </w:rPr>
        <w:t>közeggel</w:t>
      </w:r>
      <w:r w:rsidRPr="00857A79">
        <w:rPr>
          <w:rFonts w:cstheme="minorHAnsi"/>
          <w:lang w:val="hu-HU"/>
        </w:rPr>
        <w:t xml:space="preserve"> való együttműködés, az intézmény vezetése, </w:t>
      </w:r>
      <w:r>
        <w:rPr>
          <w:rFonts w:cstheme="minorHAnsi"/>
          <w:lang w:val="hu-HU"/>
        </w:rPr>
        <w:t>meg</w:t>
      </w:r>
      <w:r w:rsidRPr="00857A79">
        <w:rPr>
          <w:rFonts w:cstheme="minorHAnsi"/>
          <w:lang w:val="hu-HU"/>
        </w:rPr>
        <w:t>szervez</w:t>
      </w:r>
      <w:r>
        <w:rPr>
          <w:rFonts w:cstheme="minorHAnsi"/>
          <w:lang w:val="hu-HU"/>
        </w:rPr>
        <w:t>ése</w:t>
      </w:r>
      <w:r w:rsidRPr="00857A79">
        <w:rPr>
          <w:rFonts w:cstheme="minorHAnsi"/>
          <w:lang w:val="hu-HU"/>
        </w:rPr>
        <w:t xml:space="preserve"> és munkája minőségének biztosítása, a tolerancia fejlesztése és a különbözőség elfogadása, az inkluzív oktatás és az intézmény alaptevékenységének keretében </w:t>
      </w:r>
      <w:r>
        <w:rPr>
          <w:rFonts w:cstheme="minorHAnsi"/>
          <w:lang w:val="hu-HU"/>
        </w:rPr>
        <w:t xml:space="preserve">egyéb </w:t>
      </w:r>
      <w:r w:rsidRPr="00857A79">
        <w:rPr>
          <w:rFonts w:cstheme="minorHAnsi"/>
          <w:lang w:val="hu-HU"/>
        </w:rPr>
        <w:t>területek</w:t>
      </w:r>
      <w:r>
        <w:rPr>
          <w:rFonts w:cstheme="minorHAnsi"/>
          <w:lang w:val="hu-HU"/>
        </w:rPr>
        <w:t>en végzett munka</w:t>
      </w:r>
      <w:r w:rsidRPr="00857A79">
        <w:rPr>
          <w:rFonts w:cstheme="minorHAnsi"/>
          <w:lang w:val="hu-HU"/>
        </w:rPr>
        <w:t>.</w:t>
      </w:r>
    </w:p>
    <w:p w:rsidR="00584962" w:rsidRPr="00857A79" w:rsidRDefault="00584962" w:rsidP="00584962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hu-HU"/>
        </w:rPr>
      </w:pPr>
    </w:p>
    <w:p w:rsidR="00584962" w:rsidRPr="00857A79" w:rsidRDefault="00584962" w:rsidP="00584962">
      <w:pPr>
        <w:spacing w:after="0" w:line="240" w:lineRule="auto"/>
        <w:jc w:val="center"/>
        <w:rPr>
          <w:rFonts w:cstheme="minorHAnsi"/>
          <w:b/>
          <w:lang w:val="hu-HU"/>
        </w:rPr>
      </w:pPr>
      <w:r w:rsidRPr="00857A79">
        <w:rPr>
          <w:rFonts w:cstheme="minorHAnsi"/>
          <w:b/>
          <w:lang w:val="hu-HU"/>
        </w:rPr>
        <w:t>III.</w:t>
      </w:r>
    </w:p>
    <w:p w:rsidR="00584962" w:rsidRPr="00857A79" w:rsidRDefault="00584962" w:rsidP="00584962">
      <w:pPr>
        <w:spacing w:after="0" w:line="240" w:lineRule="auto"/>
        <w:jc w:val="both"/>
        <w:rPr>
          <w:rFonts w:cstheme="minorHAnsi"/>
          <w:b/>
          <w:sz w:val="24"/>
          <w:szCs w:val="24"/>
          <w:lang w:val="hu-HU"/>
        </w:rPr>
      </w:pPr>
    </w:p>
    <w:p w:rsidR="00584962" w:rsidRPr="00857A79" w:rsidRDefault="00584962" w:rsidP="00584962">
      <w:pPr>
        <w:spacing w:after="0" w:line="240" w:lineRule="auto"/>
        <w:ind w:firstLine="720"/>
        <w:jc w:val="both"/>
        <w:rPr>
          <w:rFonts w:cstheme="minorHAnsi"/>
          <w:lang w:val="hu-HU"/>
        </w:rPr>
      </w:pPr>
      <w:r w:rsidRPr="00857A79">
        <w:rPr>
          <w:rFonts w:cstheme="minorHAnsi"/>
          <w:lang w:val="hu-HU"/>
        </w:rPr>
        <w:t xml:space="preserve">Az Elismerés odaítélésére alakított bizottság munkájáról szóló ügyrend, az Elismerés odaítéléséhez szükséges elért eredmények értékelésének működési területei és elemei, a pályázati jelentkezés formanyomtatványaival együtt elérhetők a Tartományi Oktatási, Jogalkotási, Közigazgatási és Nemzeti Kisebbségi – Nemzeti Közösségi Titkárság </w:t>
      </w:r>
      <w:r>
        <w:fldChar w:fldCharType="begin"/>
      </w:r>
      <w:r>
        <w:instrText xml:space="preserve"> HYPERLINK "http://www.puma.vojvodina.gov.rs" </w:instrText>
      </w:r>
      <w:r>
        <w:fldChar w:fldCharType="separate"/>
      </w:r>
      <w:r w:rsidRPr="00857A79">
        <w:rPr>
          <w:rStyle w:val="Hyperlink"/>
          <w:rFonts w:cstheme="minorHAnsi"/>
          <w:lang w:val="hu-HU"/>
        </w:rPr>
        <w:t>www.puma.vojvodina.gov.rs</w:t>
      </w:r>
      <w:r>
        <w:rPr>
          <w:rStyle w:val="Hyperlink"/>
          <w:rFonts w:cstheme="minorHAnsi"/>
          <w:lang w:val="hu-HU"/>
        </w:rPr>
        <w:fldChar w:fldCharType="end"/>
      </w:r>
      <w:r w:rsidRPr="00857A79">
        <w:rPr>
          <w:rFonts w:cstheme="minorHAnsi"/>
          <w:u w:val="single"/>
          <w:lang w:val="hu-HU"/>
        </w:rPr>
        <w:t>.</w:t>
      </w:r>
      <w:r w:rsidRPr="00857A79">
        <w:rPr>
          <w:rFonts w:cstheme="minorHAnsi"/>
          <w:lang w:val="hu-HU"/>
        </w:rPr>
        <w:t xml:space="preserve"> weboldalán.</w:t>
      </w:r>
    </w:p>
    <w:p w:rsidR="00584962" w:rsidRPr="00857A79" w:rsidRDefault="00584962" w:rsidP="00584962">
      <w:pPr>
        <w:spacing w:after="0" w:line="240" w:lineRule="auto"/>
        <w:ind w:firstLine="720"/>
        <w:jc w:val="both"/>
        <w:rPr>
          <w:rFonts w:cstheme="minorHAnsi"/>
          <w:sz w:val="24"/>
          <w:szCs w:val="24"/>
          <w:u w:val="single"/>
          <w:lang w:val="hu-HU"/>
        </w:rPr>
      </w:pPr>
    </w:p>
    <w:p w:rsidR="00584962" w:rsidRPr="00857A79" w:rsidRDefault="00584962" w:rsidP="00584962">
      <w:pPr>
        <w:spacing w:after="0" w:line="240" w:lineRule="auto"/>
        <w:jc w:val="center"/>
        <w:rPr>
          <w:rFonts w:cstheme="minorHAnsi"/>
          <w:b/>
          <w:lang w:val="hu-HU"/>
        </w:rPr>
      </w:pPr>
      <w:r w:rsidRPr="00857A79">
        <w:rPr>
          <w:rFonts w:cstheme="minorHAnsi"/>
          <w:b/>
          <w:lang w:val="hu-HU"/>
        </w:rPr>
        <w:lastRenderedPageBreak/>
        <w:t>IV.</w:t>
      </w:r>
    </w:p>
    <w:p w:rsidR="00584962" w:rsidRPr="00857A79" w:rsidRDefault="00584962" w:rsidP="00584962">
      <w:pPr>
        <w:spacing w:after="0" w:line="240" w:lineRule="auto"/>
        <w:jc w:val="both"/>
        <w:rPr>
          <w:rFonts w:cstheme="minorHAnsi"/>
          <w:b/>
          <w:sz w:val="24"/>
          <w:szCs w:val="24"/>
          <w:lang w:val="hu-HU"/>
        </w:rPr>
      </w:pPr>
    </w:p>
    <w:p w:rsidR="00584962" w:rsidRPr="00857A79" w:rsidRDefault="00584962" w:rsidP="00584962">
      <w:pPr>
        <w:spacing w:after="0" w:line="240" w:lineRule="auto"/>
        <w:ind w:firstLine="720"/>
        <w:jc w:val="both"/>
        <w:rPr>
          <w:rFonts w:cstheme="minorHAnsi"/>
          <w:lang w:val="hu-HU"/>
        </w:rPr>
      </w:pPr>
      <w:r w:rsidRPr="00857A79">
        <w:rPr>
          <w:rFonts w:cstheme="minorHAnsi"/>
          <w:lang w:val="hu-HU"/>
        </w:rPr>
        <w:t>A jelentkezés, illetve az Elismerés pályázat szerinti odaítélésének javaslata tartalmazza: az előterjesztett vagy bejelentkezett jelölt adatait (iskoláskor előtti intézmény, iskola, nevelő, tanár, szakmunkatárs vagy munkatárs); az előterjesztő alapvető adatait</w:t>
      </w:r>
      <w:r>
        <w:rPr>
          <w:rFonts w:cstheme="minorHAnsi"/>
          <w:lang w:val="hu-HU"/>
        </w:rPr>
        <w:t>;</w:t>
      </w:r>
      <w:r w:rsidRPr="00857A79">
        <w:rPr>
          <w:rFonts w:cstheme="minorHAnsi"/>
          <w:lang w:val="hu-HU"/>
        </w:rPr>
        <w:t xml:space="preserve"> a 2016/2017. és 2017/2018. évi tanév</w:t>
      </w:r>
      <w:r>
        <w:rPr>
          <w:rFonts w:cstheme="minorHAnsi"/>
          <w:lang w:val="hu-HU"/>
        </w:rPr>
        <w:t>ek</w:t>
      </w:r>
      <w:r w:rsidRPr="00857A79">
        <w:rPr>
          <w:rFonts w:cstheme="minorHAnsi"/>
          <w:lang w:val="hu-HU"/>
        </w:rPr>
        <w:t>ben elért eredményekről szóló adatokat és mellékleteket az oktató-nevelő munka valamennyi</w:t>
      </w:r>
      <w:r>
        <w:rPr>
          <w:rFonts w:cstheme="minorHAnsi"/>
          <w:lang w:val="hu-HU"/>
        </w:rPr>
        <w:t xml:space="preserve"> értékelésre kerülő</w:t>
      </w:r>
      <w:r w:rsidRPr="00857A79">
        <w:rPr>
          <w:rFonts w:cstheme="minorHAnsi"/>
          <w:lang w:val="hu-HU"/>
        </w:rPr>
        <w:t xml:space="preserve"> területére vonatkozóan, a bizottság munkájáról szóló ügyrenddel összhangban.</w:t>
      </w:r>
    </w:p>
    <w:p w:rsidR="00584962" w:rsidRPr="00857A79" w:rsidRDefault="00584962" w:rsidP="00584962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hu-HU"/>
        </w:rPr>
      </w:pPr>
    </w:p>
    <w:p w:rsidR="00584962" w:rsidRPr="00857A79" w:rsidRDefault="00584962" w:rsidP="00584962">
      <w:pPr>
        <w:spacing w:after="0" w:line="240" w:lineRule="auto"/>
        <w:jc w:val="center"/>
        <w:rPr>
          <w:rFonts w:cstheme="minorHAnsi"/>
          <w:b/>
          <w:lang w:val="hu-HU"/>
        </w:rPr>
      </w:pPr>
      <w:r w:rsidRPr="00857A79">
        <w:rPr>
          <w:rFonts w:cstheme="minorHAnsi"/>
          <w:b/>
          <w:lang w:val="hu-HU"/>
        </w:rPr>
        <w:t>V.</w:t>
      </w:r>
    </w:p>
    <w:p w:rsidR="00584962" w:rsidRPr="00857A79" w:rsidRDefault="00584962" w:rsidP="00584962">
      <w:pPr>
        <w:spacing w:after="0" w:line="240" w:lineRule="auto"/>
        <w:jc w:val="center"/>
        <w:rPr>
          <w:rFonts w:cstheme="minorHAnsi"/>
          <w:b/>
          <w:sz w:val="24"/>
          <w:szCs w:val="24"/>
          <w:lang w:val="hu-HU"/>
        </w:rPr>
      </w:pPr>
    </w:p>
    <w:p w:rsidR="00584962" w:rsidRPr="00857A79" w:rsidRDefault="00584962" w:rsidP="00584962">
      <w:pPr>
        <w:spacing w:after="0" w:line="240" w:lineRule="auto"/>
        <w:ind w:firstLine="708"/>
        <w:jc w:val="both"/>
        <w:rPr>
          <w:rFonts w:cstheme="minorHAnsi"/>
          <w:lang w:val="hu-HU"/>
        </w:rPr>
      </w:pPr>
      <w:r w:rsidRPr="00857A79">
        <w:rPr>
          <w:rFonts w:cstheme="minorHAnsi"/>
          <w:lang w:val="hu-HU"/>
        </w:rPr>
        <w:t xml:space="preserve">A pályázat 2018. szeptember 1-jétől szeptember 30-ig </w:t>
      </w:r>
      <w:r>
        <w:rPr>
          <w:rFonts w:cstheme="minorHAnsi"/>
          <w:lang w:val="hu-HU"/>
        </w:rPr>
        <w:t>van</w:t>
      </w:r>
      <w:r w:rsidRPr="00857A79">
        <w:rPr>
          <w:rFonts w:cstheme="minorHAnsi"/>
          <w:lang w:val="hu-HU"/>
        </w:rPr>
        <w:t xml:space="preserve"> nyitva.</w:t>
      </w:r>
    </w:p>
    <w:p w:rsidR="00584962" w:rsidRPr="00857A79" w:rsidRDefault="00584962" w:rsidP="00584962">
      <w:pPr>
        <w:spacing w:after="0" w:line="240" w:lineRule="auto"/>
        <w:ind w:firstLine="708"/>
        <w:jc w:val="both"/>
        <w:rPr>
          <w:rFonts w:cstheme="minorHAnsi"/>
          <w:lang w:val="hu-HU"/>
        </w:rPr>
      </w:pPr>
      <w:r w:rsidRPr="00857A79">
        <w:rPr>
          <w:rFonts w:cstheme="minorHAnsi"/>
          <w:lang w:val="hu-HU"/>
        </w:rPr>
        <w:t>A késve érkezett és hiányos jelentkezéseket nem vesszük figyelembe.</w:t>
      </w:r>
    </w:p>
    <w:p w:rsidR="00584962" w:rsidRPr="00857A79" w:rsidRDefault="00584962" w:rsidP="00584962">
      <w:pPr>
        <w:spacing w:after="0" w:line="240" w:lineRule="auto"/>
        <w:ind w:firstLine="708"/>
        <w:jc w:val="both"/>
        <w:rPr>
          <w:rFonts w:cstheme="minorHAnsi"/>
          <w:lang w:val="hu-HU"/>
        </w:rPr>
      </w:pPr>
      <w:r w:rsidRPr="00857A79">
        <w:rPr>
          <w:rFonts w:cstheme="minorHAnsi"/>
          <w:lang w:val="hu-HU"/>
        </w:rPr>
        <w:t xml:space="preserve">A jelentkezést, illetve az Elismerés odaítélésére vonatkozó javaslatot, a bizonyítékokkal és mellékletekkel együtt a Tartományi Oktatási, Jogalkotási, Közigazgatási és Nemzeti Kisebbségi – Nemzeti Közösségi Titkársághoz postán a következő címre kell megküldeni: Pokrajinski sekretarijat za obrazovanje, propise, upravu i nacionalne manjine – nacionalne zajednice, Bulevar Mihajla Pupina 16, 21000 Novi Sad (a következő megjelöléssel: za Konkurs za dodelu priznanja „dr </w:t>
      </w:r>
      <w:proofErr w:type="spellStart"/>
      <w:r w:rsidRPr="00857A79">
        <w:rPr>
          <w:rFonts w:cstheme="minorHAnsi"/>
        </w:rPr>
        <w:t>Đorđe</w:t>
      </w:r>
      <w:proofErr w:type="spellEnd"/>
      <w:r w:rsidRPr="00857A79">
        <w:rPr>
          <w:rFonts w:cstheme="minorHAnsi"/>
        </w:rPr>
        <w:t xml:space="preserve"> </w:t>
      </w:r>
      <w:proofErr w:type="spellStart"/>
      <w:r w:rsidRPr="00857A79">
        <w:rPr>
          <w:rFonts w:cstheme="minorHAnsi"/>
        </w:rPr>
        <w:t>Natošević</w:t>
      </w:r>
      <w:proofErr w:type="spellEnd"/>
      <w:r w:rsidRPr="00857A79">
        <w:rPr>
          <w:rFonts w:cstheme="minorHAnsi"/>
        </w:rPr>
        <w:t>”)</w:t>
      </w:r>
    </w:p>
    <w:p w:rsidR="00584962" w:rsidRPr="00857A79" w:rsidRDefault="00584962" w:rsidP="00584962">
      <w:pPr>
        <w:spacing w:after="0" w:line="240" w:lineRule="auto"/>
        <w:ind w:firstLine="708"/>
        <w:jc w:val="both"/>
        <w:rPr>
          <w:rFonts w:cstheme="minorHAnsi"/>
          <w:lang w:val="hu-HU"/>
        </w:rPr>
      </w:pPr>
      <w:r w:rsidRPr="00857A79">
        <w:rPr>
          <w:rFonts w:cstheme="minorHAnsi"/>
          <w:lang w:val="hu-HU"/>
        </w:rPr>
        <w:t>További részletes tájékoztatás a: 021/487-41-83, 487-46-09 és 487-40-35 telefonszámokon.</w:t>
      </w:r>
    </w:p>
    <w:p w:rsidR="00584962" w:rsidRPr="00857A79" w:rsidRDefault="00584962" w:rsidP="00584962">
      <w:p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584962" w:rsidRPr="00857A79" w:rsidRDefault="00584962" w:rsidP="00584962">
      <w:p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584962" w:rsidRPr="00857A79" w:rsidRDefault="00584962" w:rsidP="00584962">
      <w:p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584962" w:rsidRPr="00857A79" w:rsidRDefault="00584962" w:rsidP="00584962">
      <w:pPr>
        <w:spacing w:after="0" w:line="240" w:lineRule="auto"/>
        <w:jc w:val="right"/>
        <w:rPr>
          <w:rFonts w:cstheme="minorHAnsi"/>
        </w:rPr>
      </w:pPr>
      <w:proofErr w:type="spellStart"/>
      <w:r w:rsidRPr="00857A79">
        <w:rPr>
          <w:rFonts w:cstheme="minorHAnsi"/>
        </w:rPr>
        <w:t>Nyilas</w:t>
      </w:r>
      <w:proofErr w:type="spellEnd"/>
      <w:r w:rsidRPr="00857A79">
        <w:rPr>
          <w:rFonts w:cstheme="minorHAnsi"/>
        </w:rPr>
        <w:t xml:space="preserve"> </w:t>
      </w:r>
      <w:proofErr w:type="spellStart"/>
      <w:r w:rsidRPr="00857A79">
        <w:rPr>
          <w:rFonts w:cstheme="minorHAnsi"/>
        </w:rPr>
        <w:t>Mihály</w:t>
      </w:r>
      <w:proofErr w:type="spellEnd"/>
      <w:r w:rsidRPr="00857A79">
        <w:rPr>
          <w:rFonts w:cstheme="minorHAnsi"/>
        </w:rPr>
        <w:t>,</w:t>
      </w:r>
    </w:p>
    <w:p w:rsidR="00584962" w:rsidRPr="00857A79" w:rsidRDefault="00584962" w:rsidP="00584962">
      <w:pPr>
        <w:spacing w:after="0" w:line="240" w:lineRule="auto"/>
        <w:jc w:val="right"/>
        <w:rPr>
          <w:rFonts w:cstheme="minorHAnsi"/>
        </w:rPr>
      </w:pPr>
      <w:proofErr w:type="spellStart"/>
      <w:proofErr w:type="gramStart"/>
      <w:r w:rsidRPr="00857A79">
        <w:rPr>
          <w:rFonts w:cstheme="minorHAnsi"/>
        </w:rPr>
        <w:t>tartományi</w:t>
      </w:r>
      <w:proofErr w:type="spellEnd"/>
      <w:proofErr w:type="gramEnd"/>
      <w:r w:rsidRPr="00857A79">
        <w:rPr>
          <w:rFonts w:cstheme="minorHAnsi"/>
        </w:rPr>
        <w:t xml:space="preserve"> </w:t>
      </w:r>
      <w:proofErr w:type="spellStart"/>
      <w:r w:rsidRPr="00857A79">
        <w:rPr>
          <w:rFonts w:cstheme="minorHAnsi"/>
        </w:rPr>
        <w:t>titkár</w:t>
      </w:r>
      <w:proofErr w:type="spellEnd"/>
    </w:p>
    <w:p w:rsidR="00584962" w:rsidRPr="00857A79" w:rsidRDefault="00584962" w:rsidP="00584962">
      <w:pPr>
        <w:spacing w:after="0" w:line="240" w:lineRule="auto"/>
        <w:jc w:val="right"/>
        <w:rPr>
          <w:rFonts w:cstheme="minorHAnsi"/>
        </w:rPr>
      </w:pPr>
    </w:p>
    <w:p w:rsidR="00D30CD9" w:rsidRPr="007A769D" w:rsidRDefault="00D30CD9"/>
    <w:sectPr w:rsidR="00D30CD9" w:rsidRPr="007A769D" w:rsidSect="00D17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9D"/>
    <w:rsid w:val="00085633"/>
    <w:rsid w:val="00335771"/>
    <w:rsid w:val="0052774A"/>
    <w:rsid w:val="00584962"/>
    <w:rsid w:val="00655FE5"/>
    <w:rsid w:val="006A7D87"/>
    <w:rsid w:val="007A769D"/>
    <w:rsid w:val="00CA525D"/>
    <w:rsid w:val="00D3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96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9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96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Priboj</dc:creator>
  <cp:lastModifiedBy>Vesna Priboj</cp:lastModifiedBy>
  <cp:revision>2</cp:revision>
  <dcterms:created xsi:type="dcterms:W3CDTF">2018-08-27T06:10:00Z</dcterms:created>
  <dcterms:modified xsi:type="dcterms:W3CDTF">2018-08-27T06:18:00Z</dcterms:modified>
</cp:coreProperties>
</file>