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1340"/>
        <w:gridCol w:w="2143"/>
        <w:gridCol w:w="5448"/>
      </w:tblGrid>
      <w:tr w:rsidR="008A00B1" w:rsidRPr="00D03A24" w:rsidTr="009A500D">
        <w:trPr>
          <w:trHeight w:val="1975"/>
        </w:trPr>
        <w:tc>
          <w:tcPr>
            <w:tcW w:w="2552" w:type="dxa"/>
            <w:gridSpan w:val="2"/>
          </w:tcPr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 wp14:anchorId="784357FE" wp14:editId="4A93A601">
                  <wp:extent cx="1263650" cy="100965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2"/>
          </w:tcPr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</w:p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>Szerb Köztársaság</w:t>
            </w:r>
          </w:p>
          <w:p w:rsidR="008A00B1" w:rsidRPr="00D03A24" w:rsidRDefault="008A00B1" w:rsidP="003663EF">
            <w:pPr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>Vajdaság Autonóm Tartomány</w:t>
            </w:r>
          </w:p>
          <w:p w:rsidR="008A00B1" w:rsidRPr="00D03A24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D03A24">
              <w:rPr>
                <w:rFonts w:asciiTheme="minorHAnsi" w:hAnsiTheme="minorHAnsi" w:cs="Arial"/>
                <w:b/>
                <w:lang w:val="hu-HU"/>
              </w:rPr>
              <w:t>Tartományi Oktatási, Jogalkotási, Közigazgatási</w:t>
            </w:r>
          </w:p>
          <w:p w:rsidR="008A00B1" w:rsidRPr="00D03A24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D03A24">
              <w:rPr>
                <w:rFonts w:asciiTheme="minorHAnsi" w:hAnsiTheme="minorHAnsi" w:cs="Arial"/>
                <w:b/>
                <w:lang w:val="hu-HU"/>
              </w:rPr>
              <w:t>és Nemzeti Kisebbségi – Nemzeti Közösségi Titkárság</w:t>
            </w:r>
          </w:p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</w:p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>Mihajlo Pupin sgt. 16., 21000 Újvidék/Novi Sad</w:t>
            </w:r>
          </w:p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 xml:space="preserve">Tel.: +381 21  </w:t>
            </w:r>
            <w:r w:rsidRPr="00D03A24">
              <w:rPr>
                <w:rFonts w:asciiTheme="minorHAnsi" w:hAnsiTheme="minorHAnsi"/>
                <w:lang w:val="hu-HU"/>
              </w:rPr>
              <w:t>487 48 62; 487 46 02</w:t>
            </w:r>
          </w:p>
          <w:p w:rsidR="008A00B1" w:rsidRPr="00D03A24" w:rsidRDefault="008A00B1" w:rsidP="003663EF">
            <w:pPr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D03A24">
              <w:rPr>
                <w:rFonts w:asciiTheme="minorHAnsi" w:hAnsiTheme="minorHAnsi"/>
                <w:lang w:val="hu-HU"/>
              </w:rPr>
              <w:t xml:space="preserve">Ounz@vojvodina.gov.rs </w:t>
            </w:r>
          </w:p>
        </w:tc>
      </w:tr>
      <w:tr w:rsidR="008A00B1" w:rsidRPr="00D03A24" w:rsidTr="009A500D">
        <w:trPr>
          <w:trHeight w:val="305"/>
        </w:trPr>
        <w:tc>
          <w:tcPr>
            <w:tcW w:w="1212" w:type="dxa"/>
          </w:tcPr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noProof/>
                <w:color w:val="000000"/>
                <w:lang w:val="hu-HU"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:rsidR="008A00B1" w:rsidRPr="00E262B8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Theme="minorHAnsi" w:hAnsiTheme="minorHAnsi"/>
                <w:lang w:val="hu-HU"/>
              </w:rPr>
            </w:pPr>
            <w:r w:rsidRPr="00D03A24">
              <w:rPr>
                <w:rFonts w:asciiTheme="minorHAnsi" w:hAnsiTheme="minorHAnsi"/>
                <w:lang w:val="hu-HU"/>
              </w:rPr>
              <w:t>SZÁM: 128-451-85/2018-01.</w:t>
            </w:r>
          </w:p>
        </w:tc>
        <w:tc>
          <w:tcPr>
            <w:tcW w:w="5448" w:type="dxa"/>
          </w:tcPr>
          <w:p w:rsidR="008A00B1" w:rsidRPr="00D03A24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D03A24">
              <w:rPr>
                <w:rFonts w:asciiTheme="minorHAnsi" w:hAnsiTheme="minorHAnsi"/>
                <w:color w:val="000000"/>
                <w:lang w:val="hu-HU"/>
              </w:rPr>
              <w:t>DÁTUM: 2018. február 12.</w:t>
            </w:r>
          </w:p>
        </w:tc>
      </w:tr>
    </w:tbl>
    <w:p w:rsidR="008A00B1" w:rsidRPr="00D03A24" w:rsidRDefault="008A00B1" w:rsidP="00E262B8">
      <w:p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Vajdaság autonóm tartományi általános és középiskolai oktatás és nevelés, valamint a diákjólét területét érintő programtevékenységek és projektek finanszírozására és társfinanszírozására irányuló költségvetési eszközök odaítéléséről szóló tartományi képviselőházi rendelet (Vajdaság AT Hivatalos Lapja, 14/15. és 10/17</w:t>
      </w:r>
      <w:r w:rsidR="00D845E4" w:rsidRPr="00D03A24">
        <w:rPr>
          <w:rFonts w:asciiTheme="minorHAnsi" w:hAnsiTheme="minorHAnsi"/>
          <w:lang w:val="hu-HU"/>
        </w:rPr>
        <w:t xml:space="preserve">. szám) 5. szakasza alapján és </w:t>
      </w:r>
      <w:r w:rsidRPr="00D03A24">
        <w:rPr>
          <w:rFonts w:asciiTheme="minorHAnsi" w:hAnsiTheme="minorHAnsi"/>
          <w:lang w:val="hu-HU"/>
        </w:rPr>
        <w:t xml:space="preserve">a </w:t>
      </w:r>
      <w:r w:rsidR="00D845E4" w:rsidRPr="00D03A24">
        <w:rPr>
          <w:rFonts w:asciiTheme="minorHAnsi" w:hAnsiTheme="minorHAnsi"/>
          <w:lang w:val="hu-HU"/>
        </w:rPr>
        <w:t>Tartományi közigazgatásról</w:t>
      </w:r>
      <w:r w:rsidRPr="00D03A24">
        <w:rPr>
          <w:rFonts w:asciiTheme="minorHAnsi" w:hAnsiTheme="minorHAnsi"/>
          <w:lang w:val="hu-HU"/>
        </w:rPr>
        <w:t xml:space="preserve"> szóló tartományi képviselőházi rendelet (Vajdaság AT Hivatalos Lapja, </w:t>
      </w:r>
      <w:r w:rsidR="00D845E4" w:rsidRPr="00D03A24">
        <w:rPr>
          <w:rFonts w:asciiTheme="minorHAnsi" w:hAnsiTheme="minorHAnsi"/>
          <w:lang w:val="hu-HU"/>
        </w:rPr>
        <w:t>3</w:t>
      </w:r>
      <w:r w:rsidRPr="00D03A24">
        <w:rPr>
          <w:rFonts w:asciiTheme="minorHAnsi" w:hAnsiTheme="minorHAnsi"/>
          <w:lang w:val="hu-HU"/>
        </w:rPr>
        <w:t>7</w:t>
      </w:r>
      <w:r w:rsidR="00D845E4" w:rsidRPr="00D03A24">
        <w:rPr>
          <w:rFonts w:asciiTheme="minorHAnsi" w:hAnsiTheme="minorHAnsi"/>
          <w:lang w:val="hu-HU"/>
        </w:rPr>
        <w:t xml:space="preserve">/2014., 54/2014. – másik határozat, 37/16. és 29/17. </w:t>
      </w:r>
      <w:r w:rsidRPr="00D03A24">
        <w:rPr>
          <w:rFonts w:asciiTheme="minorHAnsi" w:hAnsiTheme="minorHAnsi"/>
          <w:lang w:val="hu-HU"/>
        </w:rPr>
        <w:t>szám)</w:t>
      </w:r>
      <w:r w:rsidR="00D845E4" w:rsidRPr="00D03A24">
        <w:rPr>
          <w:rFonts w:asciiTheme="minorHAnsi" w:hAnsiTheme="minorHAnsi"/>
          <w:lang w:val="hu-HU"/>
        </w:rPr>
        <w:t xml:space="preserve"> 24. szakaszának 2. bekezdése alapján</w:t>
      </w:r>
      <w:r w:rsidRPr="00D03A24">
        <w:rPr>
          <w:rFonts w:asciiTheme="minorHAnsi" w:hAnsiTheme="minorHAnsi"/>
          <w:lang w:val="hu-HU"/>
        </w:rPr>
        <w:t xml:space="preserve"> a Tartományi Oktatási, Jogalkotási, Közigazgatási és Nemzeti Kisebbségi – Nemzeti Közösségi Titkárság (a továbbiakban: Titkárság)</w:t>
      </w:r>
    </w:p>
    <w:p w:rsidR="00D845E4" w:rsidRPr="00D03A24" w:rsidRDefault="00D845E4" w:rsidP="00E262B8">
      <w:pPr>
        <w:spacing w:after="0" w:line="240" w:lineRule="auto"/>
        <w:ind w:right="-357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PÁLYÁZATOT</w:t>
      </w:r>
    </w:p>
    <w:p w:rsidR="00D845E4" w:rsidRPr="00D03A24" w:rsidRDefault="00D845E4" w:rsidP="00E262B8">
      <w:pPr>
        <w:spacing w:after="0" w:line="240" w:lineRule="auto"/>
        <w:ind w:right="-357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ír ki</w:t>
      </w:r>
    </w:p>
    <w:p w:rsidR="00792728" w:rsidRPr="00D03A24" w:rsidRDefault="00792728" w:rsidP="00E262B8">
      <w:pPr>
        <w:spacing w:after="0" w:line="240" w:lineRule="auto"/>
        <w:ind w:right="-357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 xml:space="preserve">A VAJDASÁG AUTONÓM TARTOMÁNYI </w:t>
      </w:r>
      <w:r w:rsidR="006749FC" w:rsidRPr="00D03A24">
        <w:rPr>
          <w:rFonts w:asciiTheme="minorHAnsi" w:hAnsiTheme="minorHAnsi"/>
          <w:b/>
          <w:color w:val="000000"/>
          <w:lang w:val="hu-HU"/>
        </w:rPr>
        <w:t>OKTATÁSI</w:t>
      </w:r>
      <w:r w:rsidR="0069477A" w:rsidRPr="00D03A24">
        <w:rPr>
          <w:rFonts w:asciiTheme="minorHAnsi" w:hAnsiTheme="minorHAnsi"/>
          <w:b/>
          <w:color w:val="000000"/>
          <w:lang w:val="hu-HU"/>
        </w:rPr>
        <w:t xml:space="preserve"> PROGRAMOK ÉS PROJEKTEK 2018</w:t>
      </w:r>
      <w:r w:rsidRPr="00D03A24">
        <w:rPr>
          <w:rFonts w:asciiTheme="minorHAnsi" w:hAnsiTheme="minorHAnsi"/>
          <w:b/>
          <w:color w:val="000000"/>
          <w:lang w:val="hu-HU"/>
        </w:rPr>
        <w:t>. ÉVI FINANSZÍROZÁSÁRA ÉS TÁRSFINANSZÍROZÁSÁRA</w:t>
      </w:r>
    </w:p>
    <w:p w:rsidR="006749FC" w:rsidRPr="00D03A24" w:rsidRDefault="00792728" w:rsidP="00E262B8">
      <w:pPr>
        <w:spacing w:after="0" w:line="240" w:lineRule="auto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 Tartományi Oktatási, Jogalkotási, Közigazgatási és Nemzeti Kisebbségi – Nemzeti Közösségi Titkárság </w:t>
      </w:r>
      <w:r w:rsidR="00926C2E" w:rsidRPr="00D03A24">
        <w:rPr>
          <w:rFonts w:asciiTheme="minorHAnsi" w:hAnsiTheme="minorHAnsi"/>
          <w:color w:val="000000"/>
          <w:lang w:val="hu-HU"/>
        </w:rPr>
        <w:t xml:space="preserve">(a továbbiakban: Titkárság) </w:t>
      </w:r>
      <w:r w:rsidR="00D845E4" w:rsidRPr="00D03A24">
        <w:rPr>
          <w:rFonts w:asciiTheme="minorHAnsi" w:hAnsiTheme="minorHAnsi"/>
          <w:color w:val="000000"/>
          <w:lang w:val="hu-HU"/>
        </w:rPr>
        <w:t>a 2018</w:t>
      </w:r>
      <w:r w:rsidRPr="00D03A24">
        <w:rPr>
          <w:rFonts w:asciiTheme="minorHAnsi" w:hAnsiTheme="minorHAnsi"/>
          <w:color w:val="000000"/>
          <w:lang w:val="hu-HU"/>
        </w:rPr>
        <w:t xml:space="preserve">. pénzügyi tervével összhangban </w:t>
      </w:r>
      <w:r w:rsidR="00D845E4" w:rsidRPr="00D03A24">
        <w:rPr>
          <w:rFonts w:asciiTheme="minorHAnsi" w:hAnsiTheme="minorHAnsi"/>
          <w:b/>
          <w:color w:val="000000"/>
          <w:lang w:val="hu-HU"/>
        </w:rPr>
        <w:t>23.307</w:t>
      </w:r>
      <w:r w:rsidRPr="00D03A24">
        <w:rPr>
          <w:rFonts w:asciiTheme="minorHAnsi" w:hAnsiTheme="minorHAnsi"/>
          <w:b/>
          <w:color w:val="000000"/>
          <w:lang w:val="hu-HU"/>
        </w:rPr>
        <w:t>.500,00 dinár</w:t>
      </w:r>
      <w:r w:rsidR="00D845E4" w:rsidRPr="00D03A24">
        <w:rPr>
          <w:rFonts w:asciiTheme="minorHAnsi" w:hAnsiTheme="minorHAnsi"/>
          <w:color w:val="000000"/>
          <w:lang w:val="hu-HU"/>
        </w:rPr>
        <w:t xml:space="preserve"> összeget különít le </w:t>
      </w:r>
      <w:r w:rsidRPr="00D03A24">
        <w:rPr>
          <w:rFonts w:asciiTheme="minorHAnsi" w:hAnsiTheme="minorHAnsi"/>
          <w:color w:val="000000"/>
          <w:lang w:val="hu-HU"/>
        </w:rPr>
        <w:t>a Vajdaság autonóm tartományi általános és középiskolai oktatási programo</w:t>
      </w:r>
      <w:r w:rsidR="00D845E4" w:rsidRPr="00D03A24">
        <w:rPr>
          <w:rFonts w:asciiTheme="minorHAnsi" w:hAnsiTheme="minorHAnsi"/>
          <w:color w:val="000000"/>
          <w:lang w:val="hu-HU"/>
        </w:rPr>
        <w:t>kra és projektekre, mégpedig</w:t>
      </w:r>
      <w:r w:rsidR="006749FC" w:rsidRPr="00D03A24">
        <w:rPr>
          <w:rFonts w:asciiTheme="minorHAnsi" w:hAnsiTheme="minorHAnsi"/>
          <w:color w:val="000000"/>
          <w:lang w:val="hu-HU"/>
        </w:rPr>
        <w:t>:</w:t>
      </w:r>
    </w:p>
    <w:p w:rsidR="006749FC" w:rsidRPr="00D03A24" w:rsidRDefault="006749FC" w:rsidP="00E262B8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D03A24">
        <w:rPr>
          <w:rFonts w:asciiTheme="minorHAnsi" w:hAnsiTheme="minorHAnsi"/>
          <w:b/>
          <w:color w:val="000000"/>
          <w:u w:val="single"/>
          <w:lang w:val="hu-HU"/>
        </w:rPr>
        <w:t>A) A VAJDASÁG AUTONÓM TARTOMÁNYI ÁLTALÁNOS ÉS KÖZÉPISKOLAI PROGRAMOK ÉS PROJEKTEK 2018. ÉVI FINANSZÍROZÁSÁRA ÉS TÁRSFINANSZÍROZÁSÁRA</w:t>
      </w:r>
    </w:p>
    <w:p w:rsidR="006749FC" w:rsidRPr="00D03A24" w:rsidRDefault="006749FC" w:rsidP="00E262B8">
      <w:pPr>
        <w:spacing w:after="0"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ab/>
        <w:t xml:space="preserve">A Vajdaság autonóm tartományi általános és középiskolai programok és projektek 2018. évi finanszírozására és társfinanszírozására a Vajdaság Autonóm Tartomány 2018. évi költségvetésében biztosított eszközök összege </w:t>
      </w:r>
      <w:r w:rsidR="00DB02AB" w:rsidRPr="00D03A24">
        <w:rPr>
          <w:rFonts w:asciiTheme="minorHAnsi" w:hAnsiTheme="minorHAnsi"/>
          <w:b/>
          <w:color w:val="000000"/>
          <w:lang w:val="hu-HU"/>
        </w:rPr>
        <w:t>14.497.500,00 dinár.</w:t>
      </w:r>
    </w:p>
    <w:p w:rsidR="006749FC" w:rsidRPr="00D03A24" w:rsidRDefault="006749FC" w:rsidP="00E262B8">
      <w:pPr>
        <w:spacing w:after="0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AZ ESZKÖZÖK FELOSZTÁSA</w:t>
      </w:r>
    </w:p>
    <w:p w:rsidR="006749FC" w:rsidRPr="00D03A24" w:rsidRDefault="00DB02AB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</w:t>
      </w:r>
      <w:r w:rsidR="006749FC" w:rsidRPr="00D03A24">
        <w:rPr>
          <w:rFonts w:asciiTheme="minorHAnsi" w:hAnsiTheme="minorHAnsi"/>
          <w:b/>
          <w:color w:val="000000"/>
          <w:lang w:val="hu-HU"/>
        </w:rPr>
        <w:t>) Az általános és középiskolai oktatási intézmények és az oktatásban foglalkoztatottak regionális hivatásirányú fejlesztési központjai</w:t>
      </w:r>
    </w:p>
    <w:p w:rsidR="006749FC" w:rsidRPr="00D03A24" w:rsidRDefault="006749FC" w:rsidP="006749FC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az általános iskolai oktatási programokra és projektekre </w:t>
      </w:r>
      <w:r w:rsidRPr="00D03A24">
        <w:rPr>
          <w:rFonts w:asciiTheme="minorHAnsi" w:hAnsiTheme="minorHAnsi"/>
          <w:lang w:val="hu-HU"/>
        </w:rPr>
        <w:t xml:space="preserve">– </w:t>
      </w:r>
      <w:r w:rsidR="00DB02AB" w:rsidRPr="00D03A24">
        <w:rPr>
          <w:rFonts w:asciiTheme="minorHAnsi" w:hAnsiTheme="minorHAnsi"/>
          <w:b/>
          <w:lang w:val="hu-HU"/>
        </w:rPr>
        <w:t>5.54</w:t>
      </w:r>
      <w:r w:rsidRPr="00D03A24">
        <w:rPr>
          <w:rFonts w:asciiTheme="minorHAnsi" w:hAnsiTheme="minorHAnsi"/>
          <w:b/>
          <w:lang w:val="hu-HU"/>
        </w:rPr>
        <w:t>0</w:t>
      </w:r>
      <w:r w:rsidR="00DB02AB" w:rsidRPr="00D03A24">
        <w:rPr>
          <w:rFonts w:asciiTheme="minorHAnsi" w:hAnsiTheme="minorHAnsi"/>
          <w:b/>
          <w:lang w:val="hu-HU"/>
        </w:rPr>
        <w:t>.</w:t>
      </w:r>
      <w:r w:rsidRPr="00D03A24">
        <w:rPr>
          <w:rFonts w:asciiTheme="minorHAnsi" w:hAnsiTheme="minorHAnsi"/>
          <w:b/>
          <w:lang w:val="hu-HU"/>
        </w:rPr>
        <w:t>000,00 dinár</w:t>
      </w:r>
    </w:p>
    <w:p w:rsidR="006749FC" w:rsidRPr="00D03A24" w:rsidRDefault="006749FC" w:rsidP="00DB02AB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 középiskolai oktatási programokra és projektekre – </w:t>
      </w:r>
      <w:r w:rsidR="00DB02AB" w:rsidRPr="00D03A24">
        <w:rPr>
          <w:rFonts w:asciiTheme="minorHAnsi" w:hAnsiTheme="minorHAnsi"/>
          <w:b/>
          <w:color w:val="000000"/>
          <w:lang w:val="hu-HU"/>
        </w:rPr>
        <w:t>3.645.</w:t>
      </w:r>
      <w:r w:rsidRPr="00D03A24">
        <w:rPr>
          <w:rFonts w:asciiTheme="minorHAnsi" w:hAnsiTheme="minorHAnsi"/>
          <w:b/>
          <w:color w:val="000000"/>
          <w:lang w:val="hu-HU"/>
        </w:rPr>
        <w:t>000,00 dinár</w:t>
      </w:r>
    </w:p>
    <w:p w:rsidR="006749FC" w:rsidRPr="00D03A24" w:rsidRDefault="00DB02AB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b) Egyesületek</w:t>
      </w:r>
    </w:p>
    <w:p w:rsidR="006749FC" w:rsidRPr="00D03A24" w:rsidRDefault="006749FC" w:rsidP="00F472A9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az általános iskolai szintű oktatási programokra és projektekre – </w:t>
      </w:r>
      <w:r w:rsidR="00DB02AB" w:rsidRPr="005F4634">
        <w:rPr>
          <w:rFonts w:asciiTheme="minorHAnsi" w:hAnsiTheme="minorHAnsi"/>
          <w:b/>
          <w:color w:val="000000"/>
          <w:highlight w:val="yellow"/>
          <w:lang w:val="hu-HU"/>
        </w:rPr>
        <w:t>2.</w:t>
      </w:r>
      <w:r w:rsidR="005F4634" w:rsidRPr="005F4634">
        <w:rPr>
          <w:rFonts w:asciiTheme="minorHAnsi" w:hAnsiTheme="minorHAnsi"/>
          <w:b/>
          <w:color w:val="000000"/>
          <w:highlight w:val="yellow"/>
          <w:lang w:val="hu-HU"/>
        </w:rPr>
        <w:t>552</w:t>
      </w:r>
      <w:r w:rsidR="00DB02AB" w:rsidRPr="005F4634">
        <w:rPr>
          <w:rFonts w:asciiTheme="minorHAnsi" w:hAnsiTheme="minorHAnsi"/>
          <w:b/>
          <w:color w:val="000000"/>
          <w:highlight w:val="yellow"/>
          <w:lang w:val="hu-HU"/>
        </w:rPr>
        <w:t>.</w:t>
      </w:r>
      <w:r w:rsidR="005F4634" w:rsidRPr="005F4634">
        <w:rPr>
          <w:rFonts w:asciiTheme="minorHAnsi" w:hAnsiTheme="minorHAnsi"/>
          <w:b/>
          <w:color w:val="000000"/>
          <w:highlight w:val="yellow"/>
          <w:lang w:val="hu-HU"/>
        </w:rPr>
        <w:t>5</w:t>
      </w:r>
      <w:r w:rsidRPr="005F4634">
        <w:rPr>
          <w:rFonts w:asciiTheme="minorHAnsi" w:hAnsiTheme="minorHAnsi"/>
          <w:b/>
          <w:color w:val="000000"/>
          <w:highlight w:val="yellow"/>
          <w:lang w:val="hu-HU"/>
        </w:rPr>
        <w:t>00</w:t>
      </w:r>
      <w:bookmarkStart w:id="0" w:name="_GoBack"/>
      <w:bookmarkEnd w:id="0"/>
      <w:r w:rsidRPr="00D03A24">
        <w:rPr>
          <w:rFonts w:asciiTheme="minorHAnsi" w:hAnsiTheme="minorHAnsi"/>
          <w:b/>
          <w:color w:val="000000"/>
          <w:lang w:val="hu-HU"/>
        </w:rPr>
        <w:t>,00 dinár</w:t>
      </w:r>
    </w:p>
    <w:p w:rsidR="006749FC" w:rsidRPr="00D03A24" w:rsidRDefault="006749FC" w:rsidP="00F472A9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 középiskolai szintű oktatási programokra és projektekre – </w:t>
      </w:r>
      <w:r w:rsidR="00DB02AB" w:rsidRPr="00D03A24">
        <w:rPr>
          <w:rFonts w:asciiTheme="minorHAnsi" w:hAnsiTheme="minorHAnsi"/>
          <w:b/>
          <w:color w:val="000000"/>
          <w:lang w:val="hu-HU"/>
        </w:rPr>
        <w:t>2.760.</w:t>
      </w:r>
      <w:r w:rsidRPr="00D03A24">
        <w:rPr>
          <w:rFonts w:asciiTheme="minorHAnsi" w:hAnsiTheme="minorHAnsi"/>
          <w:b/>
          <w:color w:val="000000"/>
          <w:lang w:val="hu-HU"/>
        </w:rPr>
        <w:t>000,00 dinár</w:t>
      </w:r>
    </w:p>
    <w:p w:rsidR="006749FC" w:rsidRPr="00D03A24" w:rsidRDefault="006749FC" w:rsidP="00E262B8">
      <w:pPr>
        <w:spacing w:after="0"/>
        <w:ind w:right="181" w:firstLine="72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lang w:val="hu-HU"/>
        </w:rPr>
        <w:t xml:space="preserve">Pályázathatnak a Szerb Köztársaság, az autonóm tartomány vagy a helyi önkormányzat alapította Vajdaság autonóm tartományi székhelyű általános és középiskolai oktatási intézmények és az oktatásban foglalkoztatottak Vajdaság autonóm tartományi székhelyű regionális hivatásirányú fejlesztési központjai, valamint a Vajdaság autonóm tartományi székhelyű egyesületek, amelyek alapszabályukban társulásuk egyik céljaként oktatási tevékenységeket irányoztak elő. </w:t>
      </w:r>
      <w:r w:rsidRPr="00D03A24">
        <w:rPr>
          <w:rFonts w:asciiTheme="minorHAnsi" w:hAnsiTheme="minorHAnsi"/>
          <w:color w:val="000000"/>
          <w:lang w:val="hu-HU"/>
        </w:rPr>
        <w:t xml:space="preserve">A fenti említett eszközöket az alábbi prioritásokra szántuk: </w:t>
      </w:r>
    </w:p>
    <w:p w:rsidR="006749FC" w:rsidRPr="00D03A24" w:rsidRDefault="006749FC" w:rsidP="00DC6D27">
      <w:pPr>
        <w:spacing w:after="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1. Az oktató és nevelő munka korszerűsítésére</w:t>
      </w:r>
    </w:p>
    <w:p w:rsidR="00DB02AB" w:rsidRPr="00D03A24" w:rsidRDefault="00DB02AB" w:rsidP="00DB02AB">
      <w:p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lastRenderedPageBreak/>
        <w:t xml:space="preserve">1a) </w:t>
      </w:r>
      <w:r w:rsidR="006749FC" w:rsidRPr="00D03A24">
        <w:rPr>
          <w:rFonts w:asciiTheme="minorHAnsi" w:hAnsiTheme="minorHAnsi"/>
          <w:lang w:val="hu-HU"/>
        </w:rPr>
        <w:t>a tanítási folyamat korszerűsítése az összes részvevő újító- és alkotókészségének révén,</w:t>
      </w:r>
    </w:p>
    <w:p w:rsidR="00DC6D27" w:rsidRPr="00D03A24" w:rsidRDefault="00DC6D27" w:rsidP="00DB02AB">
      <w:p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1b) </w:t>
      </w:r>
      <w:r w:rsidR="006749FC" w:rsidRPr="00D03A24">
        <w:rPr>
          <w:rFonts w:asciiTheme="minorHAnsi" w:hAnsiTheme="minorHAnsi"/>
          <w:lang w:val="hu-HU"/>
        </w:rPr>
        <w:t>a tanügyi káderállomány továbbképzése (a fejletlen és kiemelten fejletlen helyi önkormányzati egységekre A régiók és helyi önkormányzati egységek minden évre megállapított és Az SZK Hivatalos Közlönyében közzétett egységes fejlettségi lista szerint),</w:t>
      </w:r>
    </w:p>
    <w:p w:rsidR="006749FC" w:rsidRPr="00D03A24" w:rsidRDefault="00DC6D27" w:rsidP="00DF0CFA">
      <w:p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1c)</w:t>
      </w:r>
      <w:r w:rsidR="006749FC" w:rsidRPr="00D03A24">
        <w:rPr>
          <w:rFonts w:asciiTheme="minorHAnsi" w:hAnsiTheme="minorHAnsi"/>
          <w:lang w:val="hu-HU"/>
        </w:rPr>
        <w:t xml:space="preserve"> az oktatásnak a médiában való népszerűsítése a jó gyakorlat példáinak és korsz</w:t>
      </w:r>
      <w:r w:rsidR="00DF0CFA" w:rsidRPr="00D03A24">
        <w:rPr>
          <w:rFonts w:asciiTheme="minorHAnsi" w:hAnsiTheme="minorHAnsi"/>
          <w:lang w:val="hu-HU"/>
        </w:rPr>
        <w:t>erű irányzatainak kiemelésével.</w:t>
      </w:r>
    </w:p>
    <w:p w:rsidR="006749FC" w:rsidRPr="00D03A24" w:rsidRDefault="006749FC" w:rsidP="00DF0CF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2. Az oktatásnak a piaci szükségletekkel való összehangolására </w:t>
      </w:r>
      <w:r w:rsidRPr="00D03A24">
        <w:rPr>
          <w:rFonts w:asciiTheme="minorHAnsi" w:hAnsiTheme="minorHAnsi"/>
          <w:b/>
          <w:lang w:val="hu-HU"/>
        </w:rPr>
        <w:tab/>
      </w:r>
    </w:p>
    <w:p w:rsidR="006749FC" w:rsidRPr="00D03A24" w:rsidRDefault="006749FC" w:rsidP="00F472A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i/>
          <w:lang w:val="hu-HU"/>
        </w:rPr>
      </w:pPr>
      <w:r w:rsidRPr="00D03A24">
        <w:rPr>
          <w:rFonts w:asciiTheme="minorHAnsi" w:hAnsiTheme="minorHAnsi"/>
          <w:lang w:val="hu-HU"/>
        </w:rPr>
        <w:t>a vállalkozói szellem fellendítése, a gyakorlati és az életben alkalmazott készségek fejlesztése, a pályaválasztás és karrierirányítás, a szakmai gyakorlat színvonalának emelése.</w:t>
      </w:r>
    </w:p>
    <w:p w:rsidR="00DF0CFA" w:rsidRPr="00D03A24" w:rsidRDefault="006749FC" w:rsidP="00DF0CFA">
      <w:pPr>
        <w:spacing w:after="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3. A multikulturalizmusra/interkulturalizmusra</w:t>
      </w:r>
      <w:r w:rsidRPr="00D03A24">
        <w:rPr>
          <w:rFonts w:asciiTheme="minorHAnsi" w:hAnsiTheme="minorHAnsi"/>
          <w:lang w:val="hu-HU"/>
        </w:rPr>
        <w:t xml:space="preserve"> </w:t>
      </w:r>
      <w:r w:rsidRPr="00D03A24">
        <w:rPr>
          <w:rFonts w:asciiTheme="minorHAnsi" w:hAnsiTheme="minorHAnsi"/>
          <w:b/>
          <w:lang w:val="hu-HU"/>
        </w:rPr>
        <w:t xml:space="preserve">és a nemzeti kisebbségek – nemzeti közösségek hagyományainak és anyanyelvének ápolására </w:t>
      </w:r>
    </w:p>
    <w:p w:rsidR="006749FC" w:rsidRPr="00D03A24" w:rsidRDefault="006749FC" w:rsidP="00F472A9">
      <w:pPr>
        <w:pStyle w:val="ListParagraph"/>
        <w:numPr>
          <w:ilvl w:val="0"/>
          <w:numId w:val="18"/>
        </w:numPr>
        <w:spacing w:after="0"/>
        <w:ind w:left="714" w:hanging="357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lang w:val="hu-HU"/>
        </w:rPr>
        <w:t>feltételek megteremtése, hogy a különböző nemzeti közösségek jobban megismerjék egymást, valamint bővebb történelmi, kulturális és az együttélésre vonatkozó egyéb fontos ismereteket szerezzenek, a nemzetek közötti bizalom erősítése.</w:t>
      </w:r>
    </w:p>
    <w:p w:rsidR="006749FC" w:rsidRPr="00D03A24" w:rsidRDefault="006749FC" w:rsidP="00DF0CF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4.</w:t>
      </w:r>
      <w:r w:rsidRPr="00D03A24">
        <w:rPr>
          <w:rFonts w:asciiTheme="minorHAnsi" w:hAnsiTheme="minorHAnsi"/>
          <w:lang w:val="hu-HU"/>
        </w:rPr>
        <w:t xml:space="preserve"> </w:t>
      </w:r>
      <w:r w:rsidRPr="00D03A24">
        <w:rPr>
          <w:rFonts w:asciiTheme="minorHAnsi" w:hAnsiTheme="minorHAnsi"/>
          <w:b/>
          <w:lang w:val="hu-HU"/>
        </w:rPr>
        <w:t>A felzárkóztató oktatás támogatására és a formális oktatásból való korai kilépés megelőzésére</w:t>
      </w:r>
    </w:p>
    <w:p w:rsidR="006749FC" w:rsidRPr="00D03A24" w:rsidRDefault="00DF0CFA" w:rsidP="00F472A9">
      <w:pPr>
        <w:pStyle w:val="ListParagraph"/>
        <w:numPr>
          <w:ilvl w:val="0"/>
          <w:numId w:val="18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>4a)</w:t>
      </w:r>
      <w:r w:rsidRPr="00D03A24">
        <w:rPr>
          <w:rFonts w:asciiTheme="minorHAnsi" w:hAnsiTheme="minorHAnsi"/>
          <w:lang w:val="hu-HU"/>
        </w:rPr>
        <w:t xml:space="preserve"> </w:t>
      </w:r>
      <w:r w:rsidR="006749FC" w:rsidRPr="00D03A24">
        <w:rPr>
          <w:rFonts w:asciiTheme="minorHAnsi" w:hAnsiTheme="minorHAnsi"/>
          <w:lang w:val="hu-HU"/>
        </w:rPr>
        <w:t>a tanulók társadalmi bevonása és előrehaladása (a fejlődési rendellenességekkel, sajátos tanulási nehézségekkel küszködő és a társadalmilag érzékeny csoportokhoz tartozó tanulók), valamint</w:t>
      </w:r>
      <w:r w:rsidRPr="00D03A24">
        <w:rPr>
          <w:rFonts w:asciiTheme="minorHAnsi" w:hAnsiTheme="minorHAnsi"/>
          <w:lang w:val="hu-HU"/>
        </w:rPr>
        <w:t xml:space="preserve"> a formális oktatásból való korai kilépés megelőzésére, </w:t>
      </w:r>
    </w:p>
    <w:p w:rsidR="006749FC" w:rsidRPr="00D03A24" w:rsidRDefault="00DF0CFA" w:rsidP="00F472A9">
      <w:pPr>
        <w:pStyle w:val="ListParagraph"/>
        <w:numPr>
          <w:ilvl w:val="0"/>
          <w:numId w:val="18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4b)</w:t>
      </w:r>
      <w:r w:rsidRPr="00D03A24">
        <w:rPr>
          <w:rFonts w:asciiTheme="minorHAnsi" w:hAnsiTheme="minorHAnsi"/>
          <w:b/>
          <w:lang w:val="hu-HU"/>
        </w:rPr>
        <w:t xml:space="preserve"> </w:t>
      </w:r>
      <w:r w:rsidR="006749FC" w:rsidRPr="00D03A24">
        <w:rPr>
          <w:rFonts w:asciiTheme="minorHAnsi" w:hAnsiTheme="minorHAnsi"/>
          <w:lang w:val="hu-HU"/>
        </w:rPr>
        <w:t>a kivételes képességű tanulók</w:t>
      </w:r>
      <w:r w:rsidRPr="00D03A24">
        <w:rPr>
          <w:rFonts w:asciiTheme="minorHAnsi" w:hAnsiTheme="minorHAnsi"/>
          <w:lang w:val="hu-HU"/>
        </w:rPr>
        <w:t xml:space="preserve"> támogatása</w:t>
      </w:r>
      <w:r w:rsidR="006749FC" w:rsidRPr="00D03A24">
        <w:rPr>
          <w:rFonts w:asciiTheme="minorHAnsi" w:hAnsiTheme="minorHAnsi"/>
          <w:lang w:val="hu-HU"/>
        </w:rPr>
        <w:t xml:space="preserve">, tehetséggondozás a tanulók oktatási és nevelési szükségleteivel </w:t>
      </w:r>
      <w:r w:rsidR="006D6DBE" w:rsidRPr="00D03A24">
        <w:rPr>
          <w:rFonts w:asciiTheme="minorHAnsi" w:hAnsiTheme="minorHAnsi"/>
          <w:lang w:val="hu-HU"/>
        </w:rPr>
        <w:t>összhangban (a munkamódszerek és feltételek alkalmazkodása,</w:t>
      </w:r>
      <w:r w:rsidR="006749FC" w:rsidRPr="00D03A24">
        <w:rPr>
          <w:rFonts w:asciiTheme="minorHAnsi" w:hAnsiTheme="minorHAnsi"/>
          <w:lang w:val="hu-HU"/>
        </w:rPr>
        <w:t xml:space="preserve"> a </w:t>
      </w:r>
      <w:r w:rsidR="006D6DBE" w:rsidRPr="00D03A24">
        <w:rPr>
          <w:rFonts w:asciiTheme="minorHAnsi" w:hAnsiTheme="minorHAnsi"/>
          <w:lang w:val="hu-HU"/>
        </w:rPr>
        <w:t>tanítási tartalom gazdagítása és bővítése, a tanulók olyan versenyeken való részvétele révén, amelyek nem a Tanügyi, Tudományügyi és a Technológiai Fejlesztési Minisztérium szervezésében zajlanak (régióközi, nemzetközi).</w:t>
      </w:r>
    </w:p>
    <w:p w:rsidR="006749FC" w:rsidRPr="00D03A24" w:rsidRDefault="006749FC" w:rsidP="006D6DBE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5. A szabadidős tevékenységek ösztönzése</w:t>
      </w:r>
    </w:p>
    <w:p w:rsidR="00AA5616" w:rsidRPr="00D03A24" w:rsidRDefault="006749FC" w:rsidP="00F472A9">
      <w:pPr>
        <w:pStyle w:val="ListParagraph"/>
        <w:numPr>
          <w:ilvl w:val="0"/>
          <w:numId w:val="19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tanulók szabadidős és szünidei tevékenységének megszervezése és szakavatott irányítása, edukációs táborok, diáktalálkozók, szakkörök, sport, tudományos-műszaki, művelődési és egyéb tartalmak révén). </w:t>
      </w:r>
    </w:p>
    <w:p w:rsidR="00FB7536" w:rsidRPr="00D03A24" w:rsidRDefault="00FB7536" w:rsidP="00E262B8">
      <w:pPr>
        <w:spacing w:after="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AZ ESZKÖZÖK FELOSZTÁSÁNAK KRITÉRIUMAI</w:t>
      </w:r>
    </w:p>
    <w:p w:rsidR="00FB7536" w:rsidRPr="00D03A24" w:rsidRDefault="00FB7536" w:rsidP="00E262B8">
      <w:pPr>
        <w:spacing w:after="0"/>
        <w:ind w:right="181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Az odaítélendő eszközök mértékének meghatározása alkalmával, az alábbi kritériumokat alkalmazzuk: </w:t>
      </w:r>
    </w:p>
    <w:p w:rsidR="00FB7536" w:rsidRPr="00D03A24" w:rsidRDefault="00FB7536" w:rsidP="00F472A9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FB7536" w:rsidRPr="00D03A24" w:rsidRDefault="00FB7536" w:rsidP="00F472A9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a program/projekt hatása,</w:t>
      </w:r>
    </w:p>
    <w:p w:rsidR="00FB7536" w:rsidRPr="00D03A24" w:rsidRDefault="00FB7536" w:rsidP="00E262B8">
      <w:pPr>
        <w:pStyle w:val="ListParagraph"/>
        <w:numPr>
          <w:ilvl w:val="0"/>
          <w:numId w:val="22"/>
        </w:numPr>
        <w:spacing w:after="0"/>
        <w:ind w:left="714" w:right="181" w:hanging="357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az előterjesztő kompetenciája és eddigi tapasztalata.</w:t>
      </w:r>
    </w:p>
    <w:p w:rsidR="00FB7536" w:rsidRPr="00D03A24" w:rsidRDefault="00FB7536" w:rsidP="00FB7536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FB7536" w:rsidRPr="00D03A24" w:rsidRDefault="00FB7536" w:rsidP="00FB7536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pályázati beadványt írásban, a Titkárság honlapján közzétett egységes formanyomtatványon kell benyújtani. </w:t>
      </w:r>
      <w:r w:rsidRPr="00D03A24">
        <w:rPr>
          <w:rFonts w:asciiTheme="minorHAnsi" w:hAnsiTheme="minorHAnsi"/>
          <w:b/>
          <w:lang w:val="hu-HU"/>
        </w:rPr>
        <w:t xml:space="preserve">Egy jogi személy legfeljebb két pályázati beadványt nyújthat be. </w:t>
      </w:r>
      <w:r w:rsidRPr="00D03A24">
        <w:rPr>
          <w:rFonts w:asciiTheme="minorHAnsi" w:hAnsiTheme="minorHAnsi"/>
          <w:lang w:val="hu-HU"/>
        </w:rPr>
        <w:t>A pályázó a pályázati beadványához mellékeli</w:t>
      </w:r>
      <w:r w:rsidRPr="00D03A24">
        <w:rPr>
          <w:rFonts w:asciiTheme="minorHAnsi" w:hAnsiTheme="minorHAnsi"/>
          <w:color w:val="000000"/>
          <w:lang w:val="hu-HU"/>
        </w:rPr>
        <w:t>:</w:t>
      </w:r>
    </w:p>
    <w:p w:rsidR="00FB7536" w:rsidRPr="00D03A24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 a Gazdasági Regiszterek Ügynökségénél a regiszterbe való bejegyzéséről szóló határozat fénymásolatát - az egyesületek,</w:t>
      </w:r>
    </w:p>
    <w:p w:rsidR="00FB7536" w:rsidRPr="00D03A24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az adóazonosító számára vonatkozó bizonylat fénymásolatát, </w:t>
      </w:r>
    </w:p>
    <w:p w:rsidR="00780DF2" w:rsidRPr="00D03A24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egyesület alapszabályának vagy alapító okmányának (amely megállapítja, hogy az egyesület céljai a fenti pályázatban előirányzott területen valósulnak meg) az illetékes szerv által hitelesített fénymásolata.</w:t>
      </w:r>
    </w:p>
    <w:p w:rsidR="00780DF2" w:rsidRPr="00D03A24" w:rsidRDefault="00780DF2" w:rsidP="00E262B8">
      <w:pPr>
        <w:spacing w:after="0" w:line="240" w:lineRule="auto"/>
        <w:ind w:left="-180" w:right="181" w:firstLine="90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ab/>
        <w:t xml:space="preserve">A különbizottság nem vitatja meg: a hiányos beadványokat, a késve érkező beadványokat, a megengedhetetlen beadványokat (a jogosulatlan, a pályázatban nem szereplő személyek vagy alanyok írták alá), azokat a beadványokat, amelyeket nem a pályázatban előirányzott </w:t>
      </w:r>
      <w:r w:rsidRPr="00D03A24">
        <w:rPr>
          <w:rFonts w:asciiTheme="minorHAnsi" w:hAnsiTheme="minorHAnsi"/>
          <w:lang w:val="hu-HU"/>
        </w:rPr>
        <w:lastRenderedPageBreak/>
        <w:t>rendeltetésre irányoztak elő, azoknak az igénybe vevőknek a beadványait, akik az előző időszakban az odaítélt eszközök felhasználását sem pénzügyi, sem narratív jelentéssel nem indokolták, azokat a programokat, illetve projekteket, amelyek nagyobb részének a teljesítése a folyó költségvetési évben nem lehetséges.</w:t>
      </w:r>
    </w:p>
    <w:p w:rsidR="00780DF2" w:rsidRPr="00D03A24" w:rsidRDefault="00780DF2" w:rsidP="00E262B8">
      <w:pPr>
        <w:spacing w:after="0" w:line="240" w:lineRule="auto"/>
        <w:ind w:left="-180" w:right="181" w:firstLine="90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>A pályázattal kapcsolatos részletes információk kérhetők a 021/487-4867 és 021/487-4183 telefonszámon.</w:t>
      </w:r>
      <w:r w:rsidRPr="00D03A24">
        <w:rPr>
          <w:rFonts w:asciiTheme="minorHAnsi" w:hAnsiTheme="minorHAnsi"/>
          <w:lang w:val="hu-HU"/>
        </w:rPr>
        <w:t xml:space="preserve"> </w:t>
      </w:r>
    </w:p>
    <w:p w:rsidR="002E2E59" w:rsidRPr="00D03A24" w:rsidRDefault="002E2E59" w:rsidP="00E262B8">
      <w:pPr>
        <w:spacing w:after="0"/>
        <w:ind w:right="181" w:firstLine="72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D03A24">
        <w:rPr>
          <w:rFonts w:asciiTheme="minorHAnsi" w:hAnsiTheme="minorHAnsi"/>
          <w:b/>
          <w:bCs/>
          <w:u w:val="single"/>
          <w:lang w:val="hu-HU"/>
        </w:rPr>
        <w:t>B) VAJDASÁG AUTONÓM TARTOMÁNYBAN A DIÁKJÓLÉT SZÍNVONALÁNAK EMELÉSÉT CÉLZÓ PROGRAMTEVÉKENYSÉGEK ÉS PROJEKTEK 2018. ÉVI FINANSZÍROZÁSÁRA ÉS TÁRSFINANSZÍROZÁSÁRA</w:t>
      </w:r>
    </w:p>
    <w:p w:rsidR="002E2E59" w:rsidRPr="00D03A24" w:rsidRDefault="002E2E59" w:rsidP="00E262B8">
      <w:pPr>
        <w:spacing w:after="0"/>
        <w:ind w:right="181"/>
        <w:jc w:val="both"/>
        <w:rPr>
          <w:rFonts w:asciiTheme="minorHAnsi" w:hAnsiTheme="minorHAnsi"/>
          <w:b/>
          <w:bCs/>
          <w:u w:val="single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Vajdaság Autonóm Tartományban a diákjólét színvonalának emelését célzó programtevékenységek és projektek 2018. évi finanszírozására és társfinanszírozására a Vajdaság Autonóm Tartomány 2018. évi költségvetéséről szóló tartományi képviselőházi rendeletben biztosított eszközök összege </w:t>
      </w:r>
      <w:r w:rsidRPr="00D03A24">
        <w:rPr>
          <w:rFonts w:asciiTheme="minorHAnsi" w:hAnsiTheme="minorHAnsi"/>
          <w:b/>
          <w:color w:val="000000"/>
          <w:lang w:val="hu-HU"/>
        </w:rPr>
        <w:t xml:space="preserve">1.900.000,00 dinár. </w:t>
      </w:r>
      <w:r w:rsidRPr="00D03A24">
        <w:rPr>
          <w:rFonts w:asciiTheme="minorHAnsi" w:hAnsiTheme="minorHAnsi"/>
          <w:lang w:val="hu-HU"/>
        </w:rPr>
        <w:t>Pályázathatnak a Szerb Köztársaság, illetve a Vajdaság AT által alapított Vajdaság autonóm tartományi diákjóléti intézmények - középiskolai diákotthonok, iskolák diákotthonnal, speciális iskolák diákotthonnal, diákközpontok, diáküdülők és diák kultúr</w:t>
      </w:r>
      <w:r w:rsidR="00A03EC9" w:rsidRPr="00D03A24">
        <w:rPr>
          <w:rFonts w:asciiTheme="minorHAnsi" w:hAnsiTheme="minorHAnsi"/>
          <w:lang w:val="hu-HU"/>
        </w:rPr>
        <w:t>központok.</w:t>
      </w:r>
      <w:r w:rsidRPr="00D03A24">
        <w:rPr>
          <w:rFonts w:asciiTheme="minorHAnsi" w:hAnsiTheme="minorHAnsi"/>
          <w:lang w:val="hu-HU"/>
        </w:rPr>
        <w:tab/>
        <w:t xml:space="preserve"> </w:t>
      </w:r>
    </w:p>
    <w:p w:rsidR="002E2E59" w:rsidRPr="00D03A24" w:rsidRDefault="002E2E59" w:rsidP="00E262B8">
      <w:pPr>
        <w:spacing w:after="0"/>
        <w:ind w:right="181" w:firstLine="720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>A fenti említett eszközöket az alábbiakra szántuk: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Vajdaság autonóm tartományi diákotthonok találkozójának megszervezésére,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oktatási és nevelési, művelődési, művészeti és spo</w:t>
      </w:r>
      <w:r w:rsidR="00A03EC9" w:rsidRPr="00D03A24">
        <w:rPr>
          <w:rFonts w:asciiTheme="minorHAnsi" w:hAnsiTheme="minorHAnsi"/>
          <w:lang w:val="hu-HU"/>
        </w:rPr>
        <w:t>r</w:t>
      </w:r>
      <w:r w:rsidRPr="00D03A24">
        <w:rPr>
          <w:rFonts w:asciiTheme="minorHAnsi" w:hAnsiTheme="minorHAnsi"/>
          <w:lang w:val="hu-HU"/>
        </w:rPr>
        <w:t>t programok és projektek teljesítésére,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különféle rendezvények szervezésére,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diákjóléti intézményekben a HACCP és ISO szabványok bevezetésére és megtartására,</w:t>
      </w:r>
    </w:p>
    <w:p w:rsidR="002E2E59" w:rsidRPr="00D03A24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diákjólét színvonalának emelésére szolgáló egyéb programtevékenységek és projektek teljesítésére. </w:t>
      </w:r>
    </w:p>
    <w:p w:rsidR="002E2E59" w:rsidRPr="00D03A24" w:rsidRDefault="00A03EC9" w:rsidP="00E262B8">
      <w:pPr>
        <w:pStyle w:val="ListParagraph"/>
        <w:numPr>
          <w:ilvl w:val="0"/>
          <w:numId w:val="24"/>
        </w:numPr>
        <w:spacing w:after="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AZ ESZKÖZÖK FELOSZTÁSÁNAK KRITÉRIUMAI</w:t>
      </w:r>
    </w:p>
    <w:p w:rsidR="002E2E59" w:rsidRPr="00D03A24" w:rsidRDefault="00A03EC9" w:rsidP="00E262B8">
      <w:pPr>
        <w:spacing w:after="0"/>
        <w:ind w:right="181"/>
        <w:jc w:val="both"/>
        <w:rPr>
          <w:rFonts w:asciiTheme="minorHAnsi" w:hAnsiTheme="minorHAnsi"/>
          <w:color w:val="000000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t xml:space="preserve">   </w:t>
      </w:r>
      <w:r w:rsidR="002E2E59" w:rsidRPr="00D03A24">
        <w:rPr>
          <w:rFonts w:asciiTheme="minorHAnsi" w:hAnsiTheme="minorHAnsi"/>
          <w:color w:val="000000"/>
          <w:lang w:val="hu-HU"/>
        </w:rPr>
        <w:t>Az eszközök felosztása az alábbi kritériumok szerint történik: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programtevékenység, illetve a projekt jelentősége a Vajdaság autonóm tartományi diákjólét fejlesztése tekintetében, 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programtevékenységgel, illetve projekttel felölelt részvevők száma,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diákjóléti intézmény székhelye szerinti helyi önkormányzat fejlettségi szintje,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programtevékenység, illetve a projekt tekintetében más finanszírozási források megléte,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Vajdaság AT költségvetéséből az előző években odaítélt eszközök sikeres teljesítése a költségvetési eszközök rendeltetésszerű és jogszerű felhasználásáról szóló jelentéssel és bizonyítékokkal alátámasztva, </w:t>
      </w:r>
    </w:p>
    <w:p w:rsidR="002E2E59" w:rsidRPr="00D03A24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programtevékenység és a projekt főként a folyó költségvetési évben valósítható meg és </w:t>
      </w:r>
    </w:p>
    <w:p w:rsidR="00A03EC9" w:rsidRPr="00D03A24" w:rsidRDefault="00A03EC9" w:rsidP="00E262B8">
      <w:pPr>
        <w:spacing w:after="0"/>
        <w:ind w:right="180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A03EC9" w:rsidRPr="00D03A24" w:rsidRDefault="00A03EC9" w:rsidP="00A03EC9">
      <w:pPr>
        <w:spacing w:after="0"/>
        <w:ind w:left="-180" w:right="181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pályázati kérelmet írásban a Titkárság honlapján közzétett egységes formanyomtatványon kell benyújtani. Egy intézmény csak egy pályázati formanyomtatványt nyújt be. </w:t>
      </w:r>
      <w:r w:rsidR="002E2E59" w:rsidRPr="00D03A24">
        <w:rPr>
          <w:rFonts w:asciiTheme="minorHAnsi" w:hAnsiTheme="minorHAnsi"/>
          <w:lang w:val="hu-HU"/>
        </w:rPr>
        <w:t>A pályázó a pályázati jelentkezéshez mellékeli</w:t>
      </w:r>
      <w:r w:rsidR="002E2E59" w:rsidRPr="00D03A24">
        <w:rPr>
          <w:rFonts w:asciiTheme="minorHAnsi" w:hAnsiTheme="minorHAnsi"/>
          <w:color w:val="000000"/>
          <w:lang w:val="hu-HU"/>
        </w:rPr>
        <w:t>:</w:t>
      </w:r>
    </w:p>
    <w:p w:rsidR="00A03EC9" w:rsidRPr="00D03A24" w:rsidRDefault="002E2E59" w:rsidP="00F472A9">
      <w:pPr>
        <w:pStyle w:val="ListParagraph"/>
        <w:numPr>
          <w:ilvl w:val="0"/>
          <w:numId w:val="25"/>
        </w:numPr>
        <w:spacing w:after="0"/>
        <w:ind w:right="181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adóazonosító számra vonatkozó bizonylat fénymásolatát.</w:t>
      </w:r>
    </w:p>
    <w:p w:rsidR="002E2E59" w:rsidRPr="00D03A24" w:rsidRDefault="002E2E59" w:rsidP="00A03EC9">
      <w:pPr>
        <w:spacing w:after="0"/>
        <w:ind w:right="181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hiányos és késve érkező beadványokat nem vesszük figyelembe. </w:t>
      </w:r>
    </w:p>
    <w:p w:rsidR="00FB7536" w:rsidRPr="00D03A24" w:rsidRDefault="00A03EC9" w:rsidP="00A03EC9">
      <w:pPr>
        <w:spacing w:after="0" w:line="240" w:lineRule="auto"/>
        <w:ind w:left="-180" w:right="181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>A pályázattal kapcsolatos részletes információk kérhetők a 021/487-4867 és 021/487-4183 telefonszámon.</w:t>
      </w:r>
      <w:r w:rsidRPr="00D03A24">
        <w:rPr>
          <w:rFonts w:asciiTheme="minorHAnsi" w:hAnsiTheme="minorHAnsi"/>
          <w:lang w:val="hu-HU"/>
        </w:rPr>
        <w:t xml:space="preserve"> </w:t>
      </w:r>
    </w:p>
    <w:p w:rsidR="00A03EC9" w:rsidRPr="00D03A24" w:rsidRDefault="00A03EC9" w:rsidP="00E262B8">
      <w:pPr>
        <w:spacing w:after="0" w:line="240" w:lineRule="auto"/>
        <w:jc w:val="center"/>
        <w:rPr>
          <w:rFonts w:asciiTheme="minorHAnsi" w:hAnsiTheme="minorHAnsi"/>
          <w:b/>
          <w:u w:val="single"/>
          <w:lang w:val="hu-HU"/>
        </w:rPr>
      </w:pPr>
      <w:r w:rsidRPr="00D03A24">
        <w:rPr>
          <w:rFonts w:asciiTheme="minorHAnsi" w:hAnsiTheme="minorHAnsi"/>
          <w:b/>
          <w:u w:val="single"/>
          <w:lang w:val="hu-HU"/>
        </w:rPr>
        <w:t>C) PÁLYÁZAT A VAJDASÁG AUTONÓM TARTOMÁNYI ÁLTALÁNOS ISKOLÁK TANULÓI NYELVI KOMPETENCIÁJÁNAK FEJLESZTÉSÉRE VONATKO</w:t>
      </w:r>
      <w:r w:rsidR="00A0328B" w:rsidRPr="00D03A24">
        <w:rPr>
          <w:rFonts w:asciiTheme="minorHAnsi" w:hAnsiTheme="minorHAnsi"/>
          <w:b/>
          <w:u w:val="single"/>
          <w:lang w:val="hu-HU"/>
        </w:rPr>
        <w:t>ZÓ PROGRAMOK ÉS PROJEKTUMOK</w:t>
      </w:r>
      <w:r w:rsidR="00152836" w:rsidRPr="00D03A24">
        <w:rPr>
          <w:rFonts w:asciiTheme="minorHAnsi" w:hAnsiTheme="minorHAnsi"/>
          <w:b/>
          <w:u w:val="single"/>
          <w:lang w:val="hu-HU"/>
        </w:rPr>
        <w:t xml:space="preserve"> 2018</w:t>
      </w:r>
      <w:r w:rsidRPr="00D03A24">
        <w:rPr>
          <w:rFonts w:asciiTheme="minorHAnsi" w:hAnsiTheme="minorHAnsi"/>
          <w:b/>
          <w:u w:val="single"/>
          <w:lang w:val="hu-HU"/>
        </w:rPr>
        <w:t>. ÉVI TÁRSFINANSZÍROZÁSÁRA</w:t>
      </w:r>
    </w:p>
    <w:p w:rsidR="00A0328B" w:rsidRPr="00D03A24" w:rsidRDefault="00152836" w:rsidP="00E262B8">
      <w:p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color w:val="000000"/>
          <w:lang w:val="hu-HU"/>
        </w:rPr>
        <w:lastRenderedPageBreak/>
        <w:t xml:space="preserve">A Vajdaság Autonóm Tartomány 2018. évi költségvetésében </w:t>
      </w:r>
      <w:r w:rsidRPr="00D03A24">
        <w:rPr>
          <w:rFonts w:asciiTheme="minorHAnsi" w:hAnsiTheme="minorHAnsi"/>
          <w:lang w:val="hu-HU"/>
        </w:rPr>
        <w:t xml:space="preserve">a Vajdaság autonóm tartományi általános iskolák tanulói nyelvi kompetenciájának fejlesztésére vonatkozó programok és projektumok társfinanszírozására </w:t>
      </w:r>
      <w:r w:rsidR="00A0328B" w:rsidRPr="00D03A24">
        <w:rPr>
          <w:rFonts w:asciiTheme="minorHAnsi" w:hAnsiTheme="minorHAnsi"/>
          <w:color w:val="000000"/>
          <w:lang w:val="hu-HU"/>
        </w:rPr>
        <w:t>biztosított eszközök 450</w:t>
      </w:r>
      <w:r w:rsidR="00A0328B" w:rsidRPr="00D03A24">
        <w:rPr>
          <w:rFonts w:asciiTheme="minorHAnsi" w:hAnsiTheme="minorHAnsi"/>
          <w:b/>
          <w:color w:val="000000"/>
          <w:lang w:val="hu-HU"/>
        </w:rPr>
        <w:t>.0</w:t>
      </w:r>
      <w:r w:rsidRPr="00D03A24">
        <w:rPr>
          <w:rFonts w:asciiTheme="minorHAnsi" w:hAnsiTheme="minorHAnsi"/>
          <w:b/>
          <w:color w:val="000000"/>
          <w:lang w:val="hu-HU"/>
        </w:rPr>
        <w:t>00,00 dinár</w:t>
      </w:r>
      <w:r w:rsidR="00A0328B" w:rsidRPr="00D03A24">
        <w:rPr>
          <w:rFonts w:asciiTheme="minorHAnsi" w:hAnsiTheme="minorHAnsi"/>
          <w:b/>
          <w:color w:val="000000"/>
          <w:lang w:val="hu-HU"/>
        </w:rPr>
        <w:t xml:space="preserve">, </w:t>
      </w:r>
      <w:r w:rsidR="00A0328B" w:rsidRPr="00D03A24">
        <w:rPr>
          <w:rFonts w:asciiTheme="minorHAnsi" w:hAnsiTheme="minorHAnsi"/>
          <w:color w:val="000000"/>
          <w:lang w:val="hu-HU"/>
        </w:rPr>
        <w:t>mégpedig</w:t>
      </w:r>
      <w:r w:rsidRPr="00D03A24">
        <w:rPr>
          <w:rFonts w:asciiTheme="minorHAnsi" w:hAnsiTheme="minorHAnsi"/>
          <w:color w:val="000000"/>
          <w:lang w:val="hu-HU"/>
        </w:rPr>
        <w:t xml:space="preserve"> </w:t>
      </w:r>
      <w:r w:rsidR="00A0328B" w:rsidRPr="00D03A24">
        <w:rPr>
          <w:rFonts w:asciiTheme="minorHAnsi" w:hAnsiTheme="minorHAnsi"/>
          <w:b/>
          <w:color w:val="000000"/>
          <w:lang w:val="hu-HU"/>
        </w:rPr>
        <w:t>350.000,00 dinárt</w:t>
      </w:r>
      <w:r w:rsidR="00A0328B" w:rsidRPr="00D03A24">
        <w:rPr>
          <w:rFonts w:asciiTheme="minorHAnsi" w:hAnsiTheme="minorHAnsi"/>
          <w:color w:val="000000"/>
          <w:lang w:val="hu-HU"/>
        </w:rPr>
        <w:t xml:space="preserve"> </w:t>
      </w:r>
      <w:r w:rsidRPr="00D03A24">
        <w:rPr>
          <w:rFonts w:asciiTheme="minorHAnsi" w:hAnsiTheme="minorHAnsi"/>
          <w:color w:val="000000"/>
          <w:lang w:val="hu-HU"/>
        </w:rPr>
        <w:t xml:space="preserve">a Vajdaság autonóm tartományi általános </w:t>
      </w:r>
      <w:r w:rsidR="00A0328B" w:rsidRPr="00D03A24">
        <w:rPr>
          <w:rFonts w:asciiTheme="minorHAnsi" w:hAnsiTheme="minorHAnsi"/>
          <w:color w:val="000000"/>
          <w:lang w:val="hu-HU"/>
        </w:rPr>
        <w:t xml:space="preserve">iskolai </w:t>
      </w:r>
      <w:r w:rsidRPr="00D03A24">
        <w:rPr>
          <w:rFonts w:asciiTheme="minorHAnsi" w:hAnsiTheme="minorHAnsi"/>
          <w:color w:val="000000"/>
          <w:lang w:val="hu-HU"/>
        </w:rPr>
        <w:t>oktatási</w:t>
      </w:r>
      <w:r w:rsidR="00A0328B" w:rsidRPr="00D03A24">
        <w:rPr>
          <w:rFonts w:asciiTheme="minorHAnsi" w:hAnsiTheme="minorHAnsi"/>
          <w:color w:val="000000"/>
          <w:lang w:val="hu-HU"/>
        </w:rPr>
        <w:t xml:space="preserve"> és nevelési szintre</w:t>
      </w:r>
      <w:r w:rsidRPr="00D03A24">
        <w:rPr>
          <w:rFonts w:asciiTheme="minorHAnsi" w:hAnsiTheme="minorHAnsi"/>
          <w:color w:val="000000"/>
          <w:lang w:val="hu-HU"/>
        </w:rPr>
        <w:t xml:space="preserve">, </w:t>
      </w:r>
      <w:r w:rsidR="00A0328B" w:rsidRPr="00D03A24">
        <w:rPr>
          <w:rFonts w:asciiTheme="minorHAnsi" w:hAnsiTheme="minorHAnsi"/>
          <w:b/>
          <w:color w:val="000000"/>
          <w:lang w:val="hu-HU"/>
        </w:rPr>
        <w:t>100.000,00 dinárt</w:t>
      </w:r>
      <w:r w:rsidR="00A0328B" w:rsidRPr="00D03A24">
        <w:rPr>
          <w:rFonts w:asciiTheme="minorHAnsi" w:hAnsiTheme="minorHAnsi"/>
          <w:color w:val="000000"/>
          <w:lang w:val="hu-HU"/>
        </w:rPr>
        <w:t xml:space="preserve"> és középiskolai oktatási és nevelési szintre. </w:t>
      </w:r>
      <w:r w:rsidR="00A0328B" w:rsidRPr="00D03A24">
        <w:rPr>
          <w:rFonts w:asciiTheme="minorHAnsi" w:hAnsiTheme="minorHAnsi"/>
          <w:lang w:val="hu-HU"/>
        </w:rPr>
        <w:t>A pályázatra a Vajdasági autonóm tartományi székhelyű általános iskolák, a versenyek vendéglátói jelentkezhetnek, mégpedig az általános iskolákban anyanyelvükön tanulók nyelvismeretéről és nyelvi kultúrájáról (magyar, román, szlovák, ruszin és horvát nyelven) szervezendő körzeti és körzetközi versenyek megszervezésére.</w:t>
      </w:r>
    </w:p>
    <w:p w:rsidR="00DA29A7" w:rsidRPr="00D03A24" w:rsidRDefault="00A0328B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eszközöket a Vajdaság autonóm tartományi általános iskolák tanulói nyelvi kompetenciájának fejlesztésére vonatkozó programok és projektumok társfinanszírozására ítéljük oda, mindenekelőtt az alábbi célokra:</w:t>
      </w:r>
    </w:p>
    <w:p w:rsidR="00A0328B" w:rsidRPr="00D03A24" w:rsidRDefault="00DA29A7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- </w:t>
      </w:r>
      <w:r w:rsidR="00A0328B" w:rsidRPr="00D03A24">
        <w:rPr>
          <w:rFonts w:asciiTheme="minorHAnsi" w:hAnsiTheme="minorHAnsi"/>
          <w:lang w:val="hu-HU"/>
        </w:rPr>
        <w:t>az általános iskolában anyanyelvükön tanulók nyelvismeretéről és nyelvi kultúrájáról (magyar, román, szlovák, ruszin és horvát nyelv</w:t>
      </w:r>
      <w:r w:rsidRPr="00D03A24">
        <w:rPr>
          <w:rFonts w:asciiTheme="minorHAnsi" w:hAnsiTheme="minorHAnsi"/>
          <w:lang w:val="hu-HU"/>
        </w:rPr>
        <w:t>en</w:t>
      </w:r>
      <w:r w:rsidR="00A0328B" w:rsidRPr="00D03A24">
        <w:rPr>
          <w:rFonts w:asciiTheme="minorHAnsi" w:hAnsiTheme="minorHAnsi"/>
          <w:lang w:val="hu-HU"/>
        </w:rPr>
        <w:t>) szervezendő körzeti és körze</w:t>
      </w:r>
      <w:r w:rsidRPr="00D03A24">
        <w:rPr>
          <w:rFonts w:asciiTheme="minorHAnsi" w:hAnsiTheme="minorHAnsi"/>
          <w:lang w:val="hu-HU"/>
        </w:rPr>
        <w:t>t</w:t>
      </w:r>
      <w:r w:rsidR="005607E3">
        <w:rPr>
          <w:rFonts w:asciiTheme="minorHAnsi" w:hAnsiTheme="minorHAnsi"/>
          <w:lang w:val="hu-HU"/>
        </w:rPr>
        <w:t>közi versenyek megszervezésére,</w:t>
      </w:r>
      <w:r w:rsidRPr="00D03A24">
        <w:rPr>
          <w:rFonts w:asciiTheme="minorHAnsi" w:hAnsiTheme="minorHAnsi"/>
          <w:lang w:val="hu-HU"/>
        </w:rPr>
        <w:t xml:space="preserve"> az Oktatási, Tudományügyi és Technológiai Fejlesztési Minisztérium versenynaptárával és az általános és középiskolai tanulók találkozóival összhangban.</w:t>
      </w:r>
    </w:p>
    <w:p w:rsidR="00A0328B" w:rsidRPr="005607E3" w:rsidRDefault="00DA29A7" w:rsidP="00E262B8">
      <w:pPr>
        <w:spacing w:after="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AZ ESZKÖZÖK ODAÍTÉLÉSÉNEK KRITÉRIUMAI</w:t>
      </w:r>
    </w:p>
    <w:p w:rsidR="00A0328B" w:rsidRPr="00D03A24" w:rsidRDefault="00DA29A7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eszközök odaítéléséről való döntéshozatal alkalmával</w:t>
      </w:r>
      <w:r w:rsidR="00A0328B" w:rsidRPr="00D03A24">
        <w:rPr>
          <w:rFonts w:asciiTheme="minorHAnsi" w:hAnsiTheme="minorHAnsi"/>
          <w:lang w:val="hu-HU"/>
        </w:rPr>
        <w:t xml:space="preserve"> az alábbi mércéket vesszük figyelembe:</w:t>
      </w:r>
    </w:p>
    <w:p w:rsidR="00A0328B" w:rsidRPr="00D03A24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projektum témájával való megfelelőséget;</w:t>
      </w:r>
    </w:p>
    <w:p w:rsidR="00A0328B" w:rsidRPr="00D03A24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 a javasolt projektum hatását;</w:t>
      </w:r>
    </w:p>
    <w:p w:rsidR="00A0328B" w:rsidRPr="00D03A24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javaslattevő kompetenciája és eddigi tapasztalatait.</w:t>
      </w:r>
    </w:p>
    <w:p w:rsidR="00C90B8F" w:rsidRPr="00D03A24" w:rsidRDefault="00C90B8F" w:rsidP="00C90B8F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D03A24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C90B8F" w:rsidRPr="00D03A24" w:rsidRDefault="00C90B8F" w:rsidP="00C90B8F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lang w:val="hu-HU"/>
        </w:rPr>
        <w:t>A pályázati beadványt írásban, a Titkárság honlapján közzétett egységes formanyomtatványon kell benyújtani. A pályázó a pályázati beadványához mellékeli</w:t>
      </w:r>
      <w:r w:rsidRPr="00D03A24">
        <w:rPr>
          <w:rFonts w:asciiTheme="minorHAnsi" w:hAnsiTheme="minorHAnsi"/>
          <w:color w:val="000000"/>
          <w:lang w:val="hu-HU"/>
        </w:rPr>
        <w:t>:</w:t>
      </w:r>
    </w:p>
    <w:p w:rsidR="00C90B8F" w:rsidRPr="00D03A24" w:rsidRDefault="00C90B8F" w:rsidP="00C90B8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 az adóazonosító számára vonatkozó bizonylat fénymásolatát, </w:t>
      </w:r>
    </w:p>
    <w:p w:rsidR="00C90B8F" w:rsidRPr="00D03A24" w:rsidRDefault="00C90B8F" w:rsidP="00E262B8">
      <w:p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ab/>
        <w:t>A különbizottság nem vitatja meg: a hiányos beadványokat, a késve érkező beadványokat, a</w:t>
      </w:r>
      <w:r w:rsidR="00D03A24" w:rsidRPr="00D03A24">
        <w:rPr>
          <w:rFonts w:asciiTheme="minorHAnsi" w:hAnsiTheme="minorHAnsi"/>
          <w:lang w:val="hu-HU"/>
        </w:rPr>
        <w:t xml:space="preserve"> megengedhetetlen beadványokat, amelyeket nem </w:t>
      </w:r>
      <w:r w:rsidRPr="00D03A24">
        <w:rPr>
          <w:rFonts w:asciiTheme="minorHAnsi" w:hAnsiTheme="minorHAnsi"/>
          <w:lang w:val="hu-HU"/>
        </w:rPr>
        <w:t>a pályázatban előirányzott rendeltetésre irányoztak elő, azoknak az igénybe vevőknek a beadványait, akik az előző időszakban az odaítélt eszközök felhasználását sem pénzügyi, sem narratív jelentéssel nem in</w:t>
      </w:r>
      <w:r w:rsidR="00D03A24" w:rsidRPr="00D03A24">
        <w:rPr>
          <w:rFonts w:asciiTheme="minorHAnsi" w:hAnsiTheme="minorHAnsi"/>
          <w:lang w:val="hu-HU"/>
        </w:rPr>
        <w:t>dokolták, azokat a programokat.</w:t>
      </w:r>
    </w:p>
    <w:p w:rsidR="00C90B8F" w:rsidRPr="00D03A24" w:rsidRDefault="00C90B8F" w:rsidP="00E262B8">
      <w:pPr>
        <w:spacing w:after="0" w:line="240" w:lineRule="auto"/>
        <w:ind w:left="-180" w:right="180" w:firstLine="90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>A pályázattal kapcsolatos részletes információk kérhetők</w:t>
      </w:r>
      <w:r w:rsidR="00D03A24" w:rsidRPr="00D03A24">
        <w:rPr>
          <w:rFonts w:asciiTheme="minorHAnsi" w:hAnsiTheme="minorHAnsi"/>
          <w:b/>
          <w:lang w:val="hu-HU"/>
        </w:rPr>
        <w:t xml:space="preserve"> a 021/487-4183</w:t>
      </w:r>
      <w:r w:rsidRPr="00D03A24">
        <w:rPr>
          <w:rFonts w:asciiTheme="minorHAnsi" w:hAnsiTheme="minorHAnsi"/>
          <w:b/>
          <w:lang w:val="hu-HU"/>
        </w:rPr>
        <w:t xml:space="preserve"> és 021/487-4</w:t>
      </w:r>
      <w:r w:rsidR="00D03A24" w:rsidRPr="00D03A24">
        <w:rPr>
          <w:rFonts w:asciiTheme="minorHAnsi" w:hAnsiTheme="minorHAnsi"/>
          <w:b/>
          <w:lang w:val="hu-HU"/>
        </w:rPr>
        <w:t>867</w:t>
      </w:r>
      <w:r w:rsidRPr="00D03A24">
        <w:rPr>
          <w:rFonts w:asciiTheme="minorHAnsi" w:hAnsiTheme="minorHAnsi"/>
          <w:b/>
          <w:lang w:val="hu-HU"/>
        </w:rPr>
        <w:t xml:space="preserve"> telefonszámon.</w:t>
      </w:r>
      <w:r w:rsidRPr="00D03A24">
        <w:rPr>
          <w:rFonts w:asciiTheme="minorHAnsi" w:hAnsiTheme="minorHAnsi"/>
          <w:lang w:val="hu-HU"/>
        </w:rPr>
        <w:t xml:space="preserve"> </w:t>
      </w:r>
    </w:p>
    <w:p w:rsidR="00D03A24" w:rsidRPr="00D03A24" w:rsidRDefault="005607E3" w:rsidP="00E262B8">
      <w:pPr>
        <w:spacing w:after="0"/>
        <w:jc w:val="center"/>
        <w:rPr>
          <w:rFonts w:asciiTheme="minorHAnsi" w:hAnsiTheme="minorHAnsi"/>
          <w:b/>
          <w:bCs/>
          <w:u w:val="single"/>
          <w:lang w:val="hu-HU"/>
        </w:rPr>
      </w:pPr>
      <w:r>
        <w:rPr>
          <w:rFonts w:asciiTheme="minorHAnsi" w:hAnsiTheme="minorHAnsi"/>
          <w:b/>
          <w:bCs/>
          <w:u w:val="single"/>
          <w:lang w:val="hu-HU"/>
        </w:rPr>
        <w:t>D</w:t>
      </w:r>
      <w:r w:rsidR="00D03A24" w:rsidRPr="00D03A24">
        <w:rPr>
          <w:rFonts w:asciiTheme="minorHAnsi" w:hAnsiTheme="minorHAnsi"/>
          <w:b/>
          <w:bCs/>
          <w:u w:val="single"/>
          <w:lang w:val="hu-HU"/>
        </w:rPr>
        <w:t>) PÁLYÁZAT A VAJDASÁG AUTONÓM TARTOMÁNYBAN ALAPFOKÚ FORMÁLIS FELNŐTTOKTATÁSI TEVÉKENYSÉG SZERVEZÉSÉRE ÁLLAMILAG ELISMERT STÁTUSSZAL RENDELKEZŐ ÁLTALÁNOS ISKOLÁK SZÁMÁRA FELSZERELÉS BESZERZÉSÉNEK</w:t>
      </w:r>
    </w:p>
    <w:p w:rsidR="00D03A24" w:rsidRPr="00D03A24" w:rsidRDefault="00D03A24" w:rsidP="00E262B8">
      <w:pPr>
        <w:spacing w:after="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D03A24">
        <w:rPr>
          <w:rFonts w:asciiTheme="minorHAnsi" w:hAnsiTheme="minorHAnsi"/>
          <w:b/>
          <w:bCs/>
          <w:u w:val="single"/>
          <w:lang w:val="hu-HU"/>
        </w:rPr>
        <w:t>2018. ÉVI FINANSZÍROZÁSÁRA ÉS TÁRSFINANSZÍROZÁSÁRA</w:t>
      </w:r>
    </w:p>
    <w:p w:rsidR="00D03A24" w:rsidRPr="00D03A24" w:rsidRDefault="00D03A24" w:rsidP="00E262B8">
      <w:pPr>
        <w:spacing w:after="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Vajdaság Autonóm Tartomány 2018. évi költségvetéséről szóló tartományi képviselőházi rendelet által biztosított eszközök összege </w:t>
      </w:r>
      <w:r w:rsidRPr="00D03A24">
        <w:rPr>
          <w:rFonts w:asciiTheme="minorHAnsi" w:hAnsiTheme="minorHAnsi"/>
          <w:bCs/>
          <w:lang w:val="hu-HU"/>
        </w:rPr>
        <w:t xml:space="preserve">a Vajdaság Autonóm Tartományban alapfokú formális felnőttoktatási tevékenység szervezésére államilag elismert státusszal rendelkező általános iskolák számára felszerelés beszerzésének finanszírozására és társfinanszírozására </w:t>
      </w:r>
      <w:r w:rsidRPr="00D03A24">
        <w:rPr>
          <w:rFonts w:asciiTheme="minorHAnsi" w:hAnsiTheme="minorHAnsi"/>
          <w:b/>
          <w:bCs/>
          <w:lang w:val="hu-HU"/>
        </w:rPr>
        <w:t>1</w:t>
      </w:r>
      <w:r w:rsidRPr="00D03A24">
        <w:rPr>
          <w:rFonts w:asciiTheme="minorHAnsi" w:hAnsiTheme="minorHAnsi"/>
          <w:bCs/>
          <w:lang w:val="hu-HU"/>
        </w:rPr>
        <w:t>.</w:t>
      </w:r>
      <w:r w:rsidRPr="00D03A24">
        <w:rPr>
          <w:rFonts w:asciiTheme="minorHAnsi" w:hAnsiTheme="minorHAnsi"/>
          <w:b/>
          <w:lang w:val="hu-HU"/>
        </w:rPr>
        <w:t>900.000,00 dinár.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Az eszközök odaítélésére a Szerb Köztársaság, Vajdaság AT, illetve a helyi önkormányzatok által alapított, Vajdaság autonóm tartományi </w:t>
      </w:r>
      <w:r w:rsidRPr="00D03A24">
        <w:rPr>
          <w:rFonts w:asciiTheme="minorHAnsi" w:hAnsiTheme="minorHAnsi"/>
          <w:bCs/>
          <w:lang w:val="hu-HU"/>
        </w:rPr>
        <w:t xml:space="preserve">alapfokú formális felnőttoktatási tevékenység szervezésére államilag elismert státusszal rendelkező, vagy a Titkárság által kiadott, az alapfokú formális felnőttoktatási tevékenység végzéséhez támasztott feltételek teljesítéséről szóló határozatával rendelkező </w:t>
      </w:r>
      <w:r w:rsidRPr="00D03A24">
        <w:rPr>
          <w:rFonts w:asciiTheme="minorHAnsi" w:hAnsiTheme="minorHAnsi"/>
          <w:lang w:val="hu-HU"/>
        </w:rPr>
        <w:t>általános iskolák jogosulnak.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Egy pályázó legfeljebb 120.000,00 dinárra pályázhat.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lastRenderedPageBreak/>
        <w:t>A pályázó, a felszerelés beszerzése során köteles a Közbeszerzésről szóló törvény rendelkezései szerint eljárni.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AZ ESZKÖZÖK FELOSZTÁSÁNAK MÉRCÉI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bCs/>
          <w:lang w:val="hu-HU"/>
        </w:rPr>
      </w:pPr>
      <w:r w:rsidRPr="00D03A24">
        <w:rPr>
          <w:rFonts w:asciiTheme="minorHAnsi" w:hAnsiTheme="minorHAnsi"/>
          <w:lang w:val="hu-HU"/>
        </w:rPr>
        <w:t>Az eszközök felosztása az alábbi kritériumok szerint történik:</w:t>
      </w:r>
    </w:p>
    <w:p w:rsidR="00D03A24" w:rsidRP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oktatás színvonalának javítása és korszerűsítése érdekében tervezett felszerelésbe való beruházás jelentősége,</w:t>
      </w:r>
    </w:p>
    <w:p w:rsidR="00D03A24" w:rsidRP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felszerelés iránti igény mértéke az oktatás megszervezése szempontjából,</w:t>
      </w:r>
    </w:p>
    <w:p w:rsidR="00D03A24" w:rsidRP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hallgatók száma az iskolában – a végfelhasználók létszáma,</w:t>
      </w:r>
    </w:p>
    <w:p w:rsidR="00D03A24" w:rsidRP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az oktatási intézmény székhelye szerinti helyi önkormányzat fejlettségi szintje,</w:t>
      </w:r>
    </w:p>
    <w:p w:rsidR="00D03A24" w:rsidRPr="00D03A24" w:rsidRDefault="00D03A24" w:rsidP="00D03A24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felszerelés beszerzését finanszírozó más finanszírozási források megléte,</w:t>
      </w:r>
    </w:p>
    <w:p w:rsidR="00D03A24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felszerelés beszerzése főként a tárgyévi költségvetésben valósul meg.</w:t>
      </w:r>
    </w:p>
    <w:p w:rsidR="00D03A24" w:rsidRPr="00D03A24" w:rsidRDefault="005607E3" w:rsidP="00E262B8">
      <w:pPr>
        <w:spacing w:after="0"/>
        <w:jc w:val="both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A PÁLYÁZÁS</w:t>
      </w:r>
      <w:r w:rsidR="00D03A24" w:rsidRPr="00D03A24">
        <w:rPr>
          <w:rFonts w:asciiTheme="minorHAnsi" w:hAnsiTheme="minorHAnsi"/>
          <w:b/>
          <w:lang w:val="hu-HU"/>
        </w:rPr>
        <w:t xml:space="preserve"> MÓDJA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pályázatot írásban, a Titkárság honlapjáról letölthető egységesített űrlapon kell benyújtani. Egy intézmény csak egy pályázati űrlapot nyújthat be. A pályázati kérelemhez kötelezően mellékelni kell: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1. az adóazonosító számra vonatkozó bizonylat fénymásolatát, valamint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2. független árajánlatot – előszámla a felszerelés beszerzésére (a beszerzés költségének kalkulálása).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>A pályázattal kapcsolatos további tájékoztatás a 021/487-4035 és 021/487-4609 telefonszámokon</w:t>
      </w:r>
      <w:r w:rsidRPr="00D03A24">
        <w:rPr>
          <w:rFonts w:asciiTheme="minorHAnsi" w:hAnsiTheme="minorHAnsi"/>
          <w:lang w:val="hu-HU"/>
        </w:rPr>
        <w:t>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________________________________________________________________</w:t>
      </w:r>
    </w:p>
    <w:p w:rsidR="00D03A24" w:rsidRPr="005607E3" w:rsidRDefault="005607E3" w:rsidP="00E262B8">
      <w:pPr>
        <w:spacing w:after="0"/>
        <w:jc w:val="center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E</w:t>
      </w:r>
      <w:r w:rsidR="00D03A24" w:rsidRPr="00D03A24">
        <w:rPr>
          <w:rFonts w:asciiTheme="minorHAnsi" w:hAnsiTheme="minorHAnsi"/>
          <w:b/>
          <w:lang w:val="hu-HU"/>
        </w:rPr>
        <w:t>) VAJDASÁG AUTONÓM TARTOMÁNYI KÉT TANÍTÁSI NYELVEN OKTATÓ ÁLTALÁNOS– ÉS KÖZÉPISKOLÁK 2018. ÉVI FINANSZÍROZÁSA ÉS TÁRSFINANSZÍROZÁSA</w:t>
      </w:r>
    </w:p>
    <w:p w:rsidR="00D03A24" w:rsidRPr="00D03A24" w:rsidRDefault="00D03A24" w:rsidP="00E262B8">
      <w:pPr>
        <w:spacing w:after="0"/>
        <w:ind w:right="181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Vajdaság Autonóm Tartomány 2018. évi költségvetéséről szóló tartományi képviselőházi rendelet által biztosított eszközök összege </w:t>
      </w:r>
      <w:r w:rsidRPr="00D03A24">
        <w:rPr>
          <w:rFonts w:asciiTheme="minorHAnsi" w:hAnsiTheme="minorHAnsi"/>
          <w:bCs/>
          <w:lang w:val="hu-HU"/>
        </w:rPr>
        <w:t xml:space="preserve">a Vajdaság autonóm tartományi két tanítási nyelven oktató általános- és középiskolák finanszírozására és társfinanszírozására </w:t>
      </w:r>
      <w:r w:rsidRPr="00D03A24">
        <w:rPr>
          <w:rFonts w:asciiTheme="minorHAnsi" w:hAnsiTheme="minorHAnsi"/>
          <w:b/>
          <w:bCs/>
          <w:lang w:val="hu-HU"/>
        </w:rPr>
        <w:t>4.</w:t>
      </w:r>
      <w:r w:rsidRPr="00D03A24">
        <w:rPr>
          <w:rFonts w:asciiTheme="minorHAnsi" w:hAnsiTheme="minorHAnsi"/>
          <w:b/>
          <w:lang w:val="hu-HU"/>
        </w:rPr>
        <w:t>560.000,00 dinár</w:t>
      </w:r>
      <w:r w:rsidRPr="00D03A24">
        <w:rPr>
          <w:rFonts w:asciiTheme="minorHAnsi" w:hAnsiTheme="minorHAnsi"/>
          <w:lang w:val="hu-HU"/>
        </w:rPr>
        <w:t>, az alábbiak szerint:</w:t>
      </w:r>
    </w:p>
    <w:p w:rsidR="00D03A24" w:rsidRPr="00D03A24" w:rsidRDefault="00D03A24" w:rsidP="00D03A24">
      <w:pPr>
        <w:pStyle w:val="ListParagraph"/>
        <w:numPr>
          <w:ilvl w:val="0"/>
          <w:numId w:val="30"/>
        </w:numPr>
        <w:spacing w:after="120"/>
        <w:ind w:right="18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alapfokú oktatás</w:t>
      </w:r>
    </w:p>
    <w:p w:rsidR="00D03A24" w:rsidRPr="005607E3" w:rsidRDefault="00D03A24" w:rsidP="005607E3">
      <w:pPr>
        <w:pStyle w:val="ListParagraph"/>
        <w:numPr>
          <w:ilvl w:val="0"/>
          <w:numId w:val="31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programköltségek </w:t>
      </w:r>
      <w:r w:rsidRPr="00D03A24">
        <w:rPr>
          <w:rFonts w:asciiTheme="minorHAnsi" w:hAnsiTheme="minorHAnsi"/>
          <w:lang w:val="hu-HU"/>
        </w:rPr>
        <w:t xml:space="preserve">a kétnyelvű tanítás megvalósításának érdekében (a kétnyelvű oktatók finanszírozása, oktatási anyag költségei, a foglalkoztatottak szakmai továbbképzésének költségei – a pedagógusok hazai és külföldi képzése, szakirodalom és didaktiai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Pr="00D03A24">
        <w:rPr>
          <w:rFonts w:asciiTheme="minorHAnsi" w:hAnsiTheme="minorHAnsi"/>
          <w:b/>
          <w:lang w:val="hu-HU"/>
        </w:rPr>
        <w:t>1.235.000,00 dinár</w:t>
      </w:r>
      <w:r w:rsidRPr="00D03A24">
        <w:rPr>
          <w:rFonts w:asciiTheme="minorHAnsi" w:hAnsiTheme="minorHAnsi"/>
          <w:lang w:val="hu-HU"/>
        </w:rPr>
        <w:t>,</w:t>
      </w:r>
    </w:p>
    <w:p w:rsidR="00D03A24" w:rsidRPr="005607E3" w:rsidRDefault="00D03A24" w:rsidP="00D03A24">
      <w:pPr>
        <w:pStyle w:val="ListParagraph"/>
        <w:numPr>
          <w:ilvl w:val="0"/>
          <w:numId w:val="31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felszerelés beszerzése </w:t>
      </w:r>
      <w:r w:rsidRPr="00D03A24">
        <w:rPr>
          <w:rFonts w:asciiTheme="minorHAnsi" w:hAnsiTheme="minorHAnsi"/>
          <w:lang w:val="hu-HU"/>
        </w:rPr>
        <w:t xml:space="preserve">a kétnyelvű tanítás megvalósításának érdekében – </w:t>
      </w:r>
      <w:r w:rsidRPr="00D03A24">
        <w:rPr>
          <w:rFonts w:asciiTheme="minorHAnsi" w:hAnsiTheme="minorHAnsi"/>
          <w:b/>
          <w:lang w:val="hu-HU"/>
        </w:rPr>
        <w:t>950.000,00 dinár.</w:t>
      </w:r>
    </w:p>
    <w:p w:rsidR="00D03A24" w:rsidRPr="00D03A24" w:rsidRDefault="00D03A24" w:rsidP="00D03A24">
      <w:pPr>
        <w:pStyle w:val="ListParagraph"/>
        <w:numPr>
          <w:ilvl w:val="0"/>
          <w:numId w:val="30"/>
        </w:numPr>
        <w:spacing w:after="0"/>
        <w:ind w:right="18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középfokú oktatás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programköltségek </w:t>
      </w:r>
      <w:r w:rsidRPr="00D03A24">
        <w:rPr>
          <w:rFonts w:asciiTheme="minorHAnsi" w:hAnsiTheme="minorHAnsi"/>
          <w:lang w:val="hu-HU"/>
        </w:rPr>
        <w:t xml:space="preserve">a kétnyelvű tanítás megvalósításának érdekében (a kétnyelvű oktatók finanszírozása, oktatási anyag költségei, a foglalkoztatottak szakmai továbbképzésének költségei – a pedagógusok hazai és külföldi képzése, szakirodalom és didaktiai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Pr="00D03A24">
        <w:rPr>
          <w:rFonts w:asciiTheme="minorHAnsi" w:hAnsiTheme="minorHAnsi"/>
          <w:b/>
          <w:lang w:val="hu-HU"/>
        </w:rPr>
        <w:t>1.805.000,00 dinár</w:t>
      </w:r>
      <w:r w:rsidRPr="00D03A24">
        <w:rPr>
          <w:rFonts w:asciiTheme="minorHAnsi" w:hAnsiTheme="minorHAnsi"/>
          <w:lang w:val="hu-HU"/>
        </w:rPr>
        <w:t>,</w:t>
      </w:r>
    </w:p>
    <w:p w:rsidR="00D03A24" w:rsidRPr="00D03A24" w:rsidRDefault="00D03A24" w:rsidP="00E262B8">
      <w:pPr>
        <w:pStyle w:val="ListParagraph"/>
        <w:numPr>
          <w:ilvl w:val="0"/>
          <w:numId w:val="31"/>
        </w:numPr>
        <w:spacing w:after="0"/>
        <w:ind w:right="181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b/>
          <w:lang w:val="hu-HU"/>
        </w:rPr>
        <w:t xml:space="preserve">felszerelés beszerzése </w:t>
      </w:r>
      <w:r w:rsidRPr="00D03A24">
        <w:rPr>
          <w:rFonts w:asciiTheme="minorHAnsi" w:hAnsiTheme="minorHAnsi"/>
          <w:lang w:val="hu-HU"/>
        </w:rPr>
        <w:t xml:space="preserve">a kétnyelvű tanítás megvalósításának érdekében – </w:t>
      </w:r>
      <w:r w:rsidRPr="00D03A24">
        <w:rPr>
          <w:rFonts w:asciiTheme="minorHAnsi" w:hAnsiTheme="minorHAnsi"/>
          <w:b/>
          <w:lang w:val="hu-HU"/>
        </w:rPr>
        <w:t>570.000,00 dinár.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lastRenderedPageBreak/>
        <w:t>A pályázó, a felszerelés beszerzése során köteles a Közbeszerzésről szóló törvény (az SZK Hivatalos Közlönye, 124/12, 14/15. és 68/15. szám) rendelkezései szerint eljárni.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Az eszközök odaítélésére azok az általános és középiskolák jogosultak, amelyek rendelkeznek az Oktatási, Tudományügyi és Technológia-fejlesztési Minisztérium (a továbbiakban: Minisztérium) kétnyelvű oktatásra feljogosító jóváhagyásával. 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AZ ESZKÖZÖK FELOSZTÁSÁNAK MÉRCÉI: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kétnyelvű oktatás megvalósításának programköltségeire odaítélendő eszközök összegének meghatározása az alábbi mércék szerint történik: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kétnyelvű oktatás megvalósításában résztvevő tanárok száma,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kétnyelvű oktatásban résztvevő tanulók száma,</w:t>
      </w:r>
    </w:p>
    <w:p w:rsidR="00D03A24" w:rsidRPr="005607E3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indokoltság a kétnyelvű oktatás további fejlesztése szempontjából.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kétnyelvű oktatás megvalósításához szükséges felszerelés beszerzésére odaítélendő eszközök összegének meghatározása az alábbi mércék szerint történik: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 tanítási nyelvű tagozatok száma,</w:t>
      </w:r>
    </w:p>
    <w:p w:rsidR="00D03A24" w:rsidRPr="00D03A24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két tanítási nyelven oktatott tantárgyak száma.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b/>
          <w:lang w:val="hu-HU"/>
        </w:rPr>
      </w:pPr>
      <w:r w:rsidRPr="00D03A24">
        <w:rPr>
          <w:rFonts w:asciiTheme="minorHAnsi" w:hAnsiTheme="minorHAnsi"/>
          <w:b/>
          <w:lang w:val="hu-HU"/>
        </w:rPr>
        <w:t>A PÁLYÁZAT MÓDJA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pályázatot írásban, a Titkárság honlapjáról letölthető egységesített űrlapon kell benyújtani. A pályázati kérelemhez kötelezően mellékelni kell: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1. a Minisztérium jóváhagyását bizonyító dokumentum fénymásolatát, valamint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2. független árajánlatot – előszámla a felszerelés beszerzésére (a beszerzés költségének kalkulálása).</w:t>
      </w:r>
    </w:p>
    <w:p w:rsidR="00D03A24" w:rsidRPr="00D03A24" w:rsidRDefault="00D03A24" w:rsidP="00E262B8">
      <w:pPr>
        <w:spacing w:after="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D03A24" w:rsidRPr="005607E3" w:rsidRDefault="00D03A24" w:rsidP="00E262B8">
      <w:pPr>
        <w:spacing w:after="0"/>
        <w:jc w:val="both"/>
        <w:rPr>
          <w:rFonts w:asciiTheme="minorHAnsi" w:hAnsiTheme="minorHAnsi"/>
          <w:b/>
          <w:u w:val="single"/>
          <w:lang w:val="hu-HU"/>
        </w:rPr>
      </w:pPr>
      <w:r w:rsidRPr="00D03A24">
        <w:rPr>
          <w:rFonts w:asciiTheme="minorHAnsi" w:hAnsiTheme="minorHAnsi"/>
          <w:b/>
          <w:u w:val="single"/>
          <w:lang w:val="hu-HU"/>
        </w:rPr>
        <w:t>A pályázattal kapcsolatos további tájékoztatás a 021/487-4157, 487-4512, 487-4819, 487-4262</w:t>
      </w:r>
      <w:r w:rsidR="005607E3">
        <w:rPr>
          <w:rFonts w:asciiTheme="minorHAnsi" w:hAnsiTheme="minorHAnsi"/>
          <w:b/>
          <w:u w:val="single"/>
          <w:lang w:val="hu-HU"/>
        </w:rPr>
        <w:t xml:space="preserve"> telefonszámokon.</w:t>
      </w:r>
    </w:p>
    <w:p w:rsidR="00792728" w:rsidRPr="00D03A24" w:rsidRDefault="00792728" w:rsidP="003663EF">
      <w:pPr>
        <w:pBdr>
          <w:top w:val="single" w:sz="4" w:space="1" w:color="auto"/>
        </w:pBd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</w:p>
    <w:p w:rsidR="004C2D3E" w:rsidRPr="00D03A24" w:rsidRDefault="005607E3" w:rsidP="00E262B8">
      <w:pPr>
        <w:spacing w:after="0" w:line="240" w:lineRule="auto"/>
        <w:jc w:val="both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VALAMENNYI PROGRAMRA ÉS PROJEKTRE VONATKOZÓ KÖZÖS KÖVETELMÉNY</w:t>
      </w:r>
    </w:p>
    <w:p w:rsidR="005607E3" w:rsidRPr="00D03A24" w:rsidRDefault="004C2D3E" w:rsidP="00E262B8">
      <w:pPr>
        <w:spacing w:after="0" w:line="240" w:lineRule="auto"/>
        <w:ind w:left="-142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Az eszközöknek az igénybe vevők számára való odaítéléséről - a beérkezett kérelmeket megvitató pályázati bizottság javaslatára - az oktatásban illetékes tartományi titkár dönt. A </w:t>
      </w:r>
      <w:r w:rsidR="005607E3">
        <w:rPr>
          <w:rFonts w:asciiTheme="minorHAnsi" w:hAnsiTheme="minorHAnsi"/>
          <w:lang w:val="hu-HU"/>
        </w:rPr>
        <w:t xml:space="preserve">bizottság </w:t>
      </w:r>
      <w:r w:rsidRPr="00D03A24">
        <w:rPr>
          <w:rFonts w:asciiTheme="minorHAnsi" w:hAnsiTheme="minorHAnsi"/>
          <w:lang w:val="hu-HU"/>
        </w:rPr>
        <w:t>fenntartja a jogát, hogy a kérelmezőtől, szükség szerint, hiánypótlást vag</w:t>
      </w:r>
      <w:r w:rsidR="005607E3">
        <w:rPr>
          <w:rFonts w:asciiTheme="minorHAnsi" w:hAnsiTheme="minorHAnsi"/>
          <w:lang w:val="hu-HU"/>
        </w:rPr>
        <w:t xml:space="preserve">y további információkat kérjen, illetve az eszközök odaítélésével kapcsolatban a szükséges feltételek teljesítését kérje. Ha a beadványt felhatalmazással rendelkező személy írja alá, mellékelni kell az aláírásra feljogosító felhatalmazást is. </w:t>
      </w:r>
      <w:r w:rsidR="005607E3" w:rsidRPr="00D03A24">
        <w:rPr>
          <w:rFonts w:asciiTheme="minorHAnsi" w:hAnsiTheme="minorHAnsi"/>
          <w:lang w:val="hu-HU"/>
        </w:rPr>
        <w:t>A pályázat eredményeit a Titkárság internetes oldalán tesszük közzé.</w:t>
      </w:r>
    </w:p>
    <w:p w:rsidR="004C2D3E" w:rsidRDefault="005607E3" w:rsidP="00E262B8">
      <w:pPr>
        <w:spacing w:after="0"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r>
        <w:rPr>
          <w:rFonts w:asciiTheme="minorHAnsi" w:hAnsiTheme="minorHAnsi"/>
          <w:lang w:val="hu-HU"/>
        </w:rPr>
        <w:tab/>
      </w:r>
      <w:r w:rsidRPr="005607E3">
        <w:rPr>
          <w:rFonts w:asciiTheme="minorHAnsi" w:hAnsiTheme="minorHAnsi"/>
          <w:b/>
          <w:u w:val="single"/>
          <w:lang w:val="hu-HU"/>
        </w:rPr>
        <w:t>A jelentkezési határidő 2018. március 9-e</w:t>
      </w:r>
    </w:p>
    <w:p w:rsidR="005607E3" w:rsidRPr="004B662D" w:rsidRDefault="004B662D" w:rsidP="00E262B8">
      <w:pPr>
        <w:spacing w:after="0"/>
        <w:jc w:val="both"/>
        <w:rPr>
          <w:i/>
          <w:lang w:val="hu-HU"/>
        </w:rPr>
      </w:pPr>
      <w:r w:rsidRPr="004B662D">
        <w:rPr>
          <w:lang w:val="hu-HU"/>
        </w:rPr>
        <w:t xml:space="preserve">A kérelmeket </w:t>
      </w:r>
      <w:r>
        <w:rPr>
          <w:lang w:val="hu-HU"/>
        </w:rPr>
        <w:t xml:space="preserve">személyesen a tartományi közigazgatási szervek iktatójában Újvidéken (a Tartományi Kormány épületének földszintjén) kell benyújtani, vagy </w:t>
      </w:r>
      <w:r w:rsidRPr="004B662D">
        <w:rPr>
          <w:lang w:val="hu-HU"/>
        </w:rPr>
        <w:t xml:space="preserve">postán kell elküldeni a következő címre: </w:t>
      </w:r>
      <w:r w:rsidRPr="004B662D">
        <w:rPr>
          <w:i/>
          <w:lang w:val="hu-HU"/>
        </w:rPr>
        <w:t xml:space="preserve">(Pokrajinski sekretarijat za obrazovanje, propise, upravu i nacionalne manjine - nacionalne zajednice - Bulevar Mihajla Pupina 16., 21000 Novi Sad,  </w:t>
      </w:r>
      <w:r w:rsidRPr="004B662D">
        <w:rPr>
          <w:lang w:val="hu-HU"/>
        </w:rPr>
        <w:t>a pályázat/program és projektum elnevezésének</w:t>
      </w:r>
      <w:r>
        <w:rPr>
          <w:lang w:val="hu-HU"/>
        </w:rPr>
        <w:t xml:space="preserve"> feltüntetésével)</w:t>
      </w:r>
    </w:p>
    <w:p w:rsidR="00D03A24" w:rsidRPr="00D03A24" w:rsidRDefault="004C2D3E" w:rsidP="00E262B8">
      <w:pPr>
        <w:spacing w:line="240" w:lineRule="auto"/>
        <w:ind w:right="180"/>
        <w:jc w:val="both"/>
        <w:rPr>
          <w:rFonts w:asciiTheme="minorHAnsi" w:hAnsiTheme="minorHAnsi"/>
          <w:lang w:val="hu-HU"/>
        </w:rPr>
      </w:pPr>
      <w:r w:rsidRPr="00D03A24">
        <w:rPr>
          <w:rFonts w:asciiTheme="minorHAnsi" w:hAnsiTheme="minorHAnsi"/>
          <w:lang w:val="hu-HU"/>
        </w:rPr>
        <w:t xml:space="preserve">A formanyomtatvány a Titkárság </w:t>
      </w:r>
      <w:hyperlink r:id="rId8" w:history="1">
        <w:r w:rsidRPr="00D03A24">
          <w:rPr>
            <w:rStyle w:val="Hyperlink"/>
            <w:rFonts w:asciiTheme="minorHAnsi" w:hAnsiTheme="minorHAnsi"/>
            <w:lang w:val="hu-HU"/>
          </w:rPr>
          <w:t>www.puma.vojvodina.gov.rs</w:t>
        </w:r>
      </w:hyperlink>
      <w:r w:rsidRPr="00D03A24">
        <w:rPr>
          <w:rFonts w:asciiTheme="minorHAnsi" w:hAnsiTheme="minorHAnsi"/>
          <w:lang w:val="hu-HU"/>
        </w:rPr>
        <w:t xml:space="preserve"> hivatalos honlapjáról </w:t>
      </w:r>
      <w:r w:rsidRPr="00D03A24">
        <w:rPr>
          <w:rFonts w:asciiTheme="minorHAnsi" w:hAnsiTheme="minorHAnsi"/>
          <w:b/>
          <w:lang w:val="hu-HU"/>
        </w:rPr>
        <w:t>201</w:t>
      </w:r>
      <w:r w:rsidR="005607E3">
        <w:rPr>
          <w:rFonts w:asciiTheme="minorHAnsi" w:hAnsiTheme="minorHAnsi"/>
          <w:b/>
          <w:lang w:val="hu-HU"/>
        </w:rPr>
        <w:t>8</w:t>
      </w:r>
      <w:r w:rsidRPr="00D03A24">
        <w:rPr>
          <w:rFonts w:asciiTheme="minorHAnsi" w:hAnsiTheme="minorHAnsi"/>
          <w:b/>
          <w:lang w:val="hu-HU"/>
        </w:rPr>
        <w:t>. február 1</w:t>
      </w:r>
      <w:r w:rsidR="005607E3">
        <w:rPr>
          <w:rFonts w:asciiTheme="minorHAnsi" w:hAnsiTheme="minorHAnsi"/>
          <w:b/>
          <w:lang w:val="hu-HU"/>
        </w:rPr>
        <w:t>2</w:t>
      </w:r>
      <w:r w:rsidRPr="00D03A24">
        <w:rPr>
          <w:rFonts w:asciiTheme="minorHAnsi" w:hAnsiTheme="minorHAnsi"/>
          <w:b/>
          <w:lang w:val="hu-HU"/>
        </w:rPr>
        <w:t>-ától</w:t>
      </w:r>
      <w:r w:rsidRPr="00D03A24">
        <w:rPr>
          <w:rFonts w:asciiTheme="minorHAnsi" w:hAnsiTheme="minorHAnsi"/>
          <w:lang w:val="hu-HU"/>
        </w:rPr>
        <w:t xml:space="preserve"> letölthető. </w:t>
      </w:r>
    </w:p>
    <w:sectPr w:rsidR="00D03A24" w:rsidRPr="00D03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BEE"/>
    <w:multiLevelType w:val="hybridMultilevel"/>
    <w:tmpl w:val="A23EC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CEA"/>
    <w:multiLevelType w:val="hybridMultilevel"/>
    <w:tmpl w:val="C91E23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>
    <w:nsid w:val="230A6EB4"/>
    <w:multiLevelType w:val="hybridMultilevel"/>
    <w:tmpl w:val="7E7016C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06010"/>
    <w:multiLevelType w:val="hybridMultilevel"/>
    <w:tmpl w:val="4EA0CA76"/>
    <w:lvl w:ilvl="0" w:tplc="3C086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C152B5"/>
    <w:multiLevelType w:val="hybridMultilevel"/>
    <w:tmpl w:val="3E245F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62036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8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276B94"/>
    <w:multiLevelType w:val="hybridMultilevel"/>
    <w:tmpl w:val="C3AEA49A"/>
    <w:lvl w:ilvl="0" w:tplc="CA68A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C44AA9"/>
    <w:multiLevelType w:val="hybridMultilevel"/>
    <w:tmpl w:val="124E8160"/>
    <w:lvl w:ilvl="0" w:tplc="241A000F">
      <w:start w:val="1"/>
      <w:numFmt w:val="decimal"/>
      <w:lvlText w:val="%1."/>
      <w:lvlJc w:val="left"/>
      <w:pPr>
        <w:ind w:left="540" w:hanging="360"/>
      </w:p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30B30DE"/>
    <w:multiLevelType w:val="hybridMultilevel"/>
    <w:tmpl w:val="11960B8C"/>
    <w:lvl w:ilvl="0" w:tplc="AC1422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14A77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4ABA0A7F"/>
    <w:multiLevelType w:val="hybridMultilevel"/>
    <w:tmpl w:val="340C0BCC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552BF"/>
    <w:multiLevelType w:val="hybridMultilevel"/>
    <w:tmpl w:val="86F00BC2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21460"/>
    <w:multiLevelType w:val="hybridMultilevel"/>
    <w:tmpl w:val="F03CB2C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74C58"/>
    <w:multiLevelType w:val="hybridMultilevel"/>
    <w:tmpl w:val="07C42C4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4A5C35"/>
    <w:multiLevelType w:val="hybridMultilevel"/>
    <w:tmpl w:val="3DA8C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6114D"/>
    <w:multiLevelType w:val="hybridMultilevel"/>
    <w:tmpl w:val="A36AC36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D022C"/>
    <w:multiLevelType w:val="hybridMultilevel"/>
    <w:tmpl w:val="2F1C9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540B8"/>
    <w:multiLevelType w:val="hybridMultilevel"/>
    <w:tmpl w:val="356868B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C35BD"/>
    <w:multiLevelType w:val="hybridMultilevel"/>
    <w:tmpl w:val="28E2C060"/>
    <w:lvl w:ilvl="0" w:tplc="CA68A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451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C71EDD"/>
    <w:multiLevelType w:val="hybridMultilevel"/>
    <w:tmpl w:val="765AD4AC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B7A42"/>
    <w:multiLevelType w:val="hybridMultilevel"/>
    <w:tmpl w:val="D8921A6A"/>
    <w:lvl w:ilvl="0" w:tplc="C888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2A32DC"/>
    <w:multiLevelType w:val="hybridMultilevel"/>
    <w:tmpl w:val="DDE649E0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C5301"/>
    <w:multiLevelType w:val="hybridMultilevel"/>
    <w:tmpl w:val="4DD0AECA"/>
    <w:lvl w:ilvl="0" w:tplc="241A000F">
      <w:start w:val="1"/>
      <w:numFmt w:val="decimal"/>
      <w:lvlText w:val="%1."/>
      <w:lvlJc w:val="left"/>
      <w:pPr>
        <w:ind w:left="1185" w:hanging="360"/>
      </w:pPr>
    </w:lvl>
    <w:lvl w:ilvl="1" w:tplc="241A0019" w:tentative="1">
      <w:start w:val="1"/>
      <w:numFmt w:val="lowerLetter"/>
      <w:lvlText w:val="%2."/>
      <w:lvlJc w:val="left"/>
      <w:pPr>
        <w:ind w:left="1905" w:hanging="360"/>
      </w:pPr>
    </w:lvl>
    <w:lvl w:ilvl="2" w:tplc="241A001B" w:tentative="1">
      <w:start w:val="1"/>
      <w:numFmt w:val="lowerRoman"/>
      <w:lvlText w:val="%3."/>
      <w:lvlJc w:val="right"/>
      <w:pPr>
        <w:ind w:left="2625" w:hanging="180"/>
      </w:pPr>
    </w:lvl>
    <w:lvl w:ilvl="3" w:tplc="241A000F" w:tentative="1">
      <w:start w:val="1"/>
      <w:numFmt w:val="decimal"/>
      <w:lvlText w:val="%4."/>
      <w:lvlJc w:val="left"/>
      <w:pPr>
        <w:ind w:left="3345" w:hanging="360"/>
      </w:pPr>
    </w:lvl>
    <w:lvl w:ilvl="4" w:tplc="241A0019" w:tentative="1">
      <w:start w:val="1"/>
      <w:numFmt w:val="lowerLetter"/>
      <w:lvlText w:val="%5."/>
      <w:lvlJc w:val="left"/>
      <w:pPr>
        <w:ind w:left="4065" w:hanging="360"/>
      </w:pPr>
    </w:lvl>
    <w:lvl w:ilvl="5" w:tplc="241A001B" w:tentative="1">
      <w:start w:val="1"/>
      <w:numFmt w:val="lowerRoman"/>
      <w:lvlText w:val="%6."/>
      <w:lvlJc w:val="right"/>
      <w:pPr>
        <w:ind w:left="4785" w:hanging="180"/>
      </w:pPr>
    </w:lvl>
    <w:lvl w:ilvl="6" w:tplc="241A000F" w:tentative="1">
      <w:start w:val="1"/>
      <w:numFmt w:val="decimal"/>
      <w:lvlText w:val="%7."/>
      <w:lvlJc w:val="left"/>
      <w:pPr>
        <w:ind w:left="5505" w:hanging="360"/>
      </w:pPr>
    </w:lvl>
    <w:lvl w:ilvl="7" w:tplc="241A0019" w:tentative="1">
      <w:start w:val="1"/>
      <w:numFmt w:val="lowerLetter"/>
      <w:lvlText w:val="%8."/>
      <w:lvlJc w:val="left"/>
      <w:pPr>
        <w:ind w:left="6225" w:hanging="360"/>
      </w:pPr>
    </w:lvl>
    <w:lvl w:ilvl="8" w:tplc="2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7DE75368"/>
    <w:multiLevelType w:val="hybridMultilevel"/>
    <w:tmpl w:val="161A3E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0"/>
  </w:num>
  <w:num w:numId="6">
    <w:abstractNumId w:val="4"/>
  </w:num>
  <w:num w:numId="7">
    <w:abstractNumId w:val="3"/>
  </w:num>
  <w:num w:numId="8">
    <w:abstractNumId w:val="22"/>
  </w:num>
  <w:num w:numId="9">
    <w:abstractNumId w:val="17"/>
  </w:num>
  <w:num w:numId="10">
    <w:abstractNumId w:val="24"/>
  </w:num>
  <w:num w:numId="11">
    <w:abstractNumId w:val="25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18"/>
  </w:num>
  <w:num w:numId="16">
    <w:abstractNumId w:val="14"/>
  </w:num>
  <w:num w:numId="17">
    <w:abstractNumId w:val="9"/>
  </w:num>
  <w:num w:numId="18">
    <w:abstractNumId w:val="13"/>
  </w:num>
  <w:num w:numId="19">
    <w:abstractNumId w:val="15"/>
  </w:num>
  <w:num w:numId="20">
    <w:abstractNumId w:val="20"/>
  </w:num>
  <w:num w:numId="21">
    <w:abstractNumId w:val="6"/>
  </w:num>
  <w:num w:numId="22">
    <w:abstractNumId w:val="26"/>
  </w:num>
  <w:num w:numId="23">
    <w:abstractNumId w:val="16"/>
  </w:num>
  <w:num w:numId="24">
    <w:abstractNumId w:val="1"/>
  </w:num>
  <w:num w:numId="25">
    <w:abstractNumId w:val="10"/>
  </w:num>
  <w:num w:numId="26">
    <w:abstractNumId w:val="22"/>
  </w:num>
  <w:num w:numId="27">
    <w:abstractNumId w:val="3"/>
  </w:num>
  <w:num w:numId="28">
    <w:abstractNumId w:val="5"/>
  </w:num>
  <w:num w:numId="29">
    <w:abstractNumId w:val="12"/>
  </w:num>
  <w:num w:numId="30">
    <w:abstractNumId w:val="19"/>
  </w:num>
  <w:num w:numId="31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28"/>
    <w:rsid w:val="000925B4"/>
    <w:rsid w:val="00114CF2"/>
    <w:rsid w:val="00152836"/>
    <w:rsid w:val="00265F16"/>
    <w:rsid w:val="00272B63"/>
    <w:rsid w:val="002E2E59"/>
    <w:rsid w:val="003663EF"/>
    <w:rsid w:val="0038030B"/>
    <w:rsid w:val="004B662D"/>
    <w:rsid w:val="004C2D3E"/>
    <w:rsid w:val="0050279A"/>
    <w:rsid w:val="00537523"/>
    <w:rsid w:val="005607E3"/>
    <w:rsid w:val="005F4634"/>
    <w:rsid w:val="006749FC"/>
    <w:rsid w:val="00675356"/>
    <w:rsid w:val="0069477A"/>
    <w:rsid w:val="006D6DBE"/>
    <w:rsid w:val="00780DF2"/>
    <w:rsid w:val="00792728"/>
    <w:rsid w:val="0086560B"/>
    <w:rsid w:val="008A00B1"/>
    <w:rsid w:val="00926C2E"/>
    <w:rsid w:val="00956BED"/>
    <w:rsid w:val="00956C3F"/>
    <w:rsid w:val="009A7D4F"/>
    <w:rsid w:val="00A0328B"/>
    <w:rsid w:val="00A03EC9"/>
    <w:rsid w:val="00A10323"/>
    <w:rsid w:val="00AA5616"/>
    <w:rsid w:val="00B73C48"/>
    <w:rsid w:val="00C14655"/>
    <w:rsid w:val="00C42C22"/>
    <w:rsid w:val="00C90B8F"/>
    <w:rsid w:val="00CB13C9"/>
    <w:rsid w:val="00D03A24"/>
    <w:rsid w:val="00D04D44"/>
    <w:rsid w:val="00D837AC"/>
    <w:rsid w:val="00D845E4"/>
    <w:rsid w:val="00DA29A7"/>
    <w:rsid w:val="00DB02AB"/>
    <w:rsid w:val="00DC6D27"/>
    <w:rsid w:val="00DF0CFA"/>
    <w:rsid w:val="00E1572D"/>
    <w:rsid w:val="00E262B8"/>
    <w:rsid w:val="00EE6932"/>
    <w:rsid w:val="00F472A9"/>
    <w:rsid w:val="00F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2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92728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79272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semiHidden/>
    <w:unhideWhenUsed/>
    <w:rsid w:val="0079272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7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728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92728"/>
    <w:pPr>
      <w:ind w:left="720"/>
      <w:contextualSpacing/>
    </w:pPr>
  </w:style>
  <w:style w:type="paragraph" w:styleId="NoSpacing">
    <w:name w:val="No Spacing"/>
    <w:uiPriority w:val="1"/>
    <w:qFormat/>
    <w:rsid w:val="00926C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2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92728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79272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semiHidden/>
    <w:unhideWhenUsed/>
    <w:rsid w:val="0079272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7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728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92728"/>
    <w:pPr>
      <w:ind w:left="720"/>
      <w:contextualSpacing/>
    </w:pPr>
  </w:style>
  <w:style w:type="paragraph" w:styleId="NoSpacing">
    <w:name w:val="No Spacing"/>
    <w:uiPriority w:val="1"/>
    <w:qFormat/>
    <w:rsid w:val="00926C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5EBA-D625-4E50-A633-E9FF3A04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Marijana Divijački</cp:lastModifiedBy>
  <cp:revision>3</cp:revision>
  <dcterms:created xsi:type="dcterms:W3CDTF">2018-02-09T14:04:00Z</dcterms:created>
  <dcterms:modified xsi:type="dcterms:W3CDTF">2018-02-09T14:29:00Z</dcterms:modified>
</cp:coreProperties>
</file>