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EE" w:rsidRPr="00543C5B" w:rsidRDefault="001971EE" w:rsidP="001971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1971EE" w:rsidRPr="00540176" w:rsidTr="0018394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1971EE" w:rsidRPr="00540176" w:rsidRDefault="001971EE" w:rsidP="0018394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0A74282" wp14:editId="1BAF5344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71EE" w:rsidRPr="008A76F8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1971EE" w:rsidRPr="008A76F8" w:rsidRDefault="001971EE" w:rsidP="0018394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1971EE" w:rsidRPr="008A76F8" w:rsidRDefault="001971EE" w:rsidP="001839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1971EE" w:rsidRPr="008A76F8" w:rsidRDefault="001971EE" w:rsidP="001839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1971EE" w:rsidRPr="008A76F8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1971EE" w:rsidRPr="008A76F8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48 67, 487 40 36</w:t>
            </w:r>
          </w:p>
          <w:p w:rsidR="001971EE" w:rsidRPr="00540176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1971EE" w:rsidRPr="00676F39" w:rsidTr="00183943">
        <w:trPr>
          <w:trHeight w:val="305"/>
        </w:trPr>
        <w:tc>
          <w:tcPr>
            <w:tcW w:w="2552" w:type="dxa"/>
          </w:tcPr>
          <w:p w:rsidR="001971EE" w:rsidRPr="00540176" w:rsidRDefault="001971EE" w:rsidP="0018394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1971EE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:rsidR="001971EE" w:rsidRPr="001E6A1F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KLASA: 128-451-665/2019-01</w:t>
            </w:r>
          </w:p>
        </w:tc>
        <w:tc>
          <w:tcPr>
            <w:tcW w:w="5448" w:type="dxa"/>
            <w:gridSpan w:val="2"/>
          </w:tcPr>
          <w:p w:rsidR="001971EE" w:rsidRPr="00676F39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1971EE" w:rsidRPr="001E6A1F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DATUM: 25.2.2019.</w:t>
            </w:r>
          </w:p>
          <w:p w:rsidR="001971EE" w:rsidRPr="00446540" w:rsidRDefault="001971EE" w:rsidP="0018394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1971EE" w:rsidRDefault="001971EE" w:rsidP="001971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temelju članka 3. Pravilnika o dodjeli proračunskih sredstava za financiranje i sufinanciranje modernizacije infrastrukture ustanova osnovnog i srednjeg obrazovanja i odgoja i učeničkog standarda na teritoriju AP Vojvodine („Službeni list APV”, broj 4/17) i članka 3. Pravilnika o dodjeli proračunskih sredstava za financiranje i sufinanciranje modernizacije infrastrukture predškolskih ustanova na teritoriju AP Vojvodine („Službeni list APV”, br. 14/17), a u vezi s Pokrajinskom skupštinskom odlukom o proračunu Autonomne Pokrajine Vojvodine za 2019. godinu („Službeni list APV”, br. 60</w:t>
      </w:r>
      <w:r>
        <w:rPr>
          <w:rFonts w:ascii="Calibri" w:hAnsi="Calibri"/>
          <w:sz w:val="20"/>
        </w:rPr>
        <w:t>/18</w:t>
      </w:r>
      <w:r>
        <w:rPr>
          <w:rFonts w:ascii="Calibri" w:hAnsi="Calibri"/>
          <w:sz w:val="22"/>
          <w:szCs w:val="22"/>
        </w:rPr>
        <w:t xml:space="preserve">), Pokrajinsko tajništvo za obrazovanje, propise, upravu i nacionalne manjine ‒ nacionalne zajednice (u daljnjem tekstu: Tajništvo) raspisuje  </w:t>
      </w:r>
    </w:p>
    <w:p w:rsidR="001971EE" w:rsidRPr="00485D47" w:rsidRDefault="001971EE" w:rsidP="001971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971EE" w:rsidRPr="00540176" w:rsidRDefault="001971EE" w:rsidP="001971E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NATJEČAJ  </w:t>
      </w:r>
    </w:p>
    <w:p w:rsidR="001971EE" w:rsidRDefault="001971EE" w:rsidP="001971E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FINANCIRANJE I SUFINANCIRANJE REKONSTRUKCIJE, ADAPTACIJE, SANACIJE I INVESTICIJSKO ODRŽAVANJE OBJEKATA USTANOVA OSNOVNOG, SREDNJEG OBRAZOVANJA I ODGOJA, UČENIČKOG STANDARDA I PREDŠKOLSKIH USTANOVA NA TERITORIJU AUTONOMNE POKRAJINE VOJVODINE ZA 2019. GODINU:</w:t>
      </w:r>
    </w:p>
    <w:p w:rsidR="001971EE" w:rsidRPr="00485D47" w:rsidRDefault="001971EE" w:rsidP="001971EE">
      <w:pPr>
        <w:jc w:val="center"/>
        <w:rPr>
          <w:rFonts w:ascii="Calibri" w:hAnsi="Calibri"/>
          <w:b/>
        </w:rPr>
      </w:pPr>
    </w:p>
    <w:p w:rsidR="001971EE" w:rsidRPr="00D13F98" w:rsidRDefault="001971EE" w:rsidP="001971E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Natječaj se raspisuje na iznos sredstava osiguranja Pokrajinskom skupštinskom odlukom o proračunu Autonomne Pokrajine Vojvodine za 2019. godinu („Službeni list APV”, br. 60</w:t>
      </w:r>
      <w:r>
        <w:rPr>
          <w:rFonts w:ascii="Calibri" w:hAnsi="Calibri"/>
          <w:sz w:val="20"/>
        </w:rPr>
        <w:t>/18</w:t>
      </w:r>
      <w:r>
        <w:rPr>
          <w:rFonts w:ascii="Calibri" w:hAnsi="Calibri"/>
          <w:sz w:val="22"/>
          <w:szCs w:val="22"/>
        </w:rPr>
        <w:t>) i to: za financiranje i sufinanciranje rekonstrukcije, adaptacije, sanacije i investicijsko održavanje objekata ustanova osnovnog, srednjeg obrazovanja i odgoja, učeničkog standarda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predškolskih ustanova na teritoriju Autonomne Pokrajine Vojvodine u ukupnom iznosu od </w:t>
      </w:r>
      <w:r>
        <w:rPr>
          <w:rFonts w:ascii="Calibri" w:hAnsi="Calibri"/>
          <w:b/>
          <w:sz w:val="22"/>
          <w:szCs w:val="22"/>
        </w:rPr>
        <w:t xml:space="preserve">144.159.702,00 dinara </w:t>
      </w:r>
      <w:r>
        <w:rPr>
          <w:rFonts w:ascii="Calibri" w:hAnsi="Calibri"/>
          <w:sz w:val="22"/>
          <w:szCs w:val="22"/>
        </w:rPr>
        <w:t xml:space="preserve">(na razini osnovnog obrazovanja i odgoja </w:t>
      </w:r>
      <w:r>
        <w:rPr>
          <w:rFonts w:ascii="Calibri" w:hAnsi="Calibri"/>
          <w:b/>
          <w:sz w:val="22"/>
          <w:szCs w:val="22"/>
        </w:rPr>
        <w:t>93.400.000,00 dinara</w:t>
      </w:r>
      <w:r>
        <w:rPr>
          <w:rFonts w:ascii="Calibri" w:hAnsi="Calibri"/>
          <w:sz w:val="22"/>
          <w:szCs w:val="22"/>
        </w:rPr>
        <w:t>, na razini srednjeg obrazovanja i odgoja</w:t>
      </w:r>
      <w:r>
        <w:rPr>
          <w:rFonts w:ascii="Calibri" w:hAnsi="Calibri"/>
          <w:b/>
          <w:sz w:val="22"/>
          <w:szCs w:val="22"/>
        </w:rPr>
        <w:t>32.800.000,00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dinara,</w:t>
      </w:r>
      <w:r>
        <w:rPr>
          <w:rFonts w:ascii="Calibri" w:hAnsi="Calibri"/>
          <w:sz w:val="22"/>
          <w:szCs w:val="22"/>
        </w:rPr>
        <w:t xml:space="preserve"> za ustanove učeničkog standarda </w:t>
      </w:r>
      <w:r>
        <w:rPr>
          <w:rFonts w:ascii="Calibri" w:hAnsi="Calibri"/>
          <w:b/>
          <w:sz w:val="22"/>
          <w:szCs w:val="22"/>
        </w:rPr>
        <w:t xml:space="preserve">8.964.702,00 dinara </w:t>
      </w:r>
      <w:r>
        <w:rPr>
          <w:rFonts w:ascii="Calibri" w:hAnsi="Calibri"/>
          <w:sz w:val="22"/>
          <w:szCs w:val="22"/>
        </w:rPr>
        <w:t xml:space="preserve">i za predškolske ustanove </w:t>
      </w:r>
      <w:r>
        <w:rPr>
          <w:rFonts w:ascii="Calibri" w:hAnsi="Calibri"/>
          <w:b/>
          <w:sz w:val="22"/>
          <w:szCs w:val="22"/>
        </w:rPr>
        <w:t>8.995.000,00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 xml:space="preserve">). </w:t>
      </w:r>
    </w:p>
    <w:p w:rsidR="001971EE" w:rsidRDefault="001971EE" w:rsidP="001971E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su namijenjena za izvođenje radova rekonstrukcije, adaptacije, sanacije i za investicijsko održavanje objekata ustanova osnovnog, srednjeg obrazovanja i odgoja, učeničkog standarda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predškolskih ustanova na teritoriju Autonomne Pokrajine Vojvodine, a za koje rješenje o odobravanju izvođenja radova izdaje tijelo nadležan za </w:t>
      </w:r>
      <w:r>
        <w:rPr>
          <w:rFonts w:asciiTheme="minorHAnsi" w:hAnsiTheme="minorHAnsi"/>
          <w:sz w:val="22"/>
          <w:szCs w:val="22"/>
        </w:rPr>
        <w:t>izdavanje građevinske dozvole prema članku 145. stavak 1. Zakona o planiranju i izgradnji („Sl.</w:t>
      </w:r>
      <w:r w:rsidR="00BB42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glasnik RS“, br. 72/2009, 81/2009-ispr.,64/2010-odluka US, 24/2011,121/2012, 42/2013- odluka US, 50/2013 – odluka US, 98/2013 – odluka US, 132/2014,145/2014 i 83/2018).</w:t>
      </w:r>
    </w:p>
    <w:p w:rsidR="001971EE" w:rsidRPr="009F716A" w:rsidRDefault="001971EE" w:rsidP="001971EE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financiranje i sufinanciranje izvođenja radova izgradnje, dogradnje i tekućeg održavanja objekta. </w:t>
      </w:r>
    </w:p>
    <w:p w:rsidR="001971EE" w:rsidRPr="00540176" w:rsidRDefault="001971EE" w:rsidP="001971EE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se ne dodjeljuju za radove čije je financiranje u punom iznosu osigurano iz drugih izvora.</w:t>
      </w:r>
    </w:p>
    <w:p w:rsidR="001971EE" w:rsidRPr="004B0824" w:rsidRDefault="001971EE" w:rsidP="001971EE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Realizacija financijskih obveza vršit će se u skladu s likvidnim mogućnostima proračuna Autonomne Pokrajine Vojvodine za 2019. godinu. </w:t>
      </w:r>
    </w:p>
    <w:p w:rsidR="001971EE" w:rsidRDefault="001971EE" w:rsidP="001971EE">
      <w:pPr>
        <w:jc w:val="both"/>
        <w:rPr>
          <w:rFonts w:ascii="Calibri" w:hAnsi="Calibri"/>
          <w:sz w:val="22"/>
          <w:szCs w:val="22"/>
        </w:rPr>
      </w:pPr>
    </w:p>
    <w:p w:rsidR="001971EE" w:rsidRDefault="001971EE" w:rsidP="001971EE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971EE" w:rsidRDefault="001971EE" w:rsidP="001971EE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1971EE" w:rsidRDefault="001971EE" w:rsidP="001971EE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1971EE" w:rsidRPr="000E1C91" w:rsidRDefault="001971EE" w:rsidP="001971EE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1971EE" w:rsidRPr="00497F32" w:rsidRDefault="001971EE" w:rsidP="001971EE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971EE" w:rsidRPr="00144FE1" w:rsidRDefault="001971EE" w:rsidP="001971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:rsidR="001971EE" w:rsidRPr="00144FE1" w:rsidRDefault="001971EE" w:rsidP="001971E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Podnositelji prijave</w:t>
      </w:r>
    </w:p>
    <w:p w:rsidR="001971EE" w:rsidRPr="00EA5494" w:rsidRDefault="001971EE" w:rsidP="001971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Podnositelji prijave su:</w:t>
      </w:r>
    </w:p>
    <w:p w:rsidR="001971EE" w:rsidRDefault="001971EE" w:rsidP="001971EE">
      <w:pPr>
        <w:pStyle w:val="ListParagraph"/>
        <w:numPr>
          <w:ilvl w:val="0"/>
          <w:numId w:val="4"/>
        </w:numPr>
        <w:jc w:val="both"/>
      </w:pPr>
      <w: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:rsidR="001971EE" w:rsidRPr="00344CAA" w:rsidRDefault="001971EE" w:rsidP="001971EE">
      <w:pPr>
        <w:pStyle w:val="ListParagraph"/>
        <w:numPr>
          <w:ilvl w:val="0"/>
          <w:numId w:val="4"/>
        </w:numPr>
        <w:jc w:val="both"/>
      </w:pPr>
      <w:r>
        <w:t>jedinice lokalne samouprave (isključivo za potrebe predškolskih ustanova) na teritoriju AP Vojvodine.</w:t>
      </w:r>
    </w:p>
    <w:p w:rsidR="001971EE" w:rsidRPr="001E6C2E" w:rsidRDefault="001971EE" w:rsidP="001971E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1971EE" w:rsidRPr="00C342CB" w:rsidRDefault="001971EE" w:rsidP="001971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Vojvodine, kao i po Pravilniku o dodjeli proračunskih sredstava za financiranje i sufinanciranje modernizacije infrastrukture predškolskih ustanova na teritoriju AP Vojvodine  jesu: </w:t>
      </w:r>
    </w:p>
    <w:p w:rsidR="001971EE" w:rsidRPr="00540176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kada je riječ o sigurnosti učenika, nastavnika odnosno djece, odgojitelja i zaposlenika koji koriste objekte;</w:t>
      </w:r>
    </w:p>
    <w:p w:rsidR="001971EE" w:rsidRPr="00540176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za osiguravanje kvalitetnih uvjeta za boravak i izvođenje odgojno-obrazovnog rada;</w:t>
      </w:r>
    </w:p>
    <w:p w:rsidR="001971EE" w:rsidRPr="00540176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financijska opravdanost  projekta; </w:t>
      </w:r>
    </w:p>
    <w:p w:rsidR="001971EE" w:rsidRPr="00540176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održivost projekta;</w:t>
      </w:r>
    </w:p>
    <w:p w:rsidR="001971EE" w:rsidRPr="00540176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lokalni odnosno regionalni značaj projekta; </w:t>
      </w:r>
    </w:p>
    <w:p w:rsidR="001971EE" w:rsidRPr="00D83D1D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aktivnosti koje su poduzete s ciljem realizacije projekta; </w:t>
      </w:r>
    </w:p>
    <w:p w:rsidR="001971EE" w:rsidRPr="009E1E1C" w:rsidRDefault="001971EE" w:rsidP="001971E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</w:rPr>
      </w:pPr>
      <w:r>
        <w:t xml:space="preserve">osigurani izvori sredstava za realizaciju projekta. </w:t>
      </w:r>
    </w:p>
    <w:p w:rsidR="001971EE" w:rsidRPr="009E1E1C" w:rsidRDefault="001971EE" w:rsidP="001971EE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1971EE" w:rsidRPr="00144FE1" w:rsidRDefault="001971EE" w:rsidP="001971E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OPĆE SMJERNICE NATJEČAJA</w:t>
      </w:r>
    </w:p>
    <w:p w:rsidR="001971EE" w:rsidRPr="00144FE1" w:rsidRDefault="001971EE" w:rsidP="001971EE">
      <w:pPr>
        <w:pStyle w:val="BodyText"/>
        <w:ind w:firstLine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je tehnički moguće projekt realizirati u više neovisnih faza izvođenja radova, podnositelj prijave treba podnijeti prijavu s jasno navedenim fazama za izvođenje radova  i naznačenim financijskim sredstvima za sve faze.</w:t>
      </w:r>
    </w:p>
    <w:p w:rsidR="001971EE" w:rsidRPr="00144FE1" w:rsidRDefault="001971EE" w:rsidP="001971EE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Priloženi predmer i predračun radova treba da budu s precizno utvrđenom količinom radova i s tržišnim cijenama, jer će se sredstva podnositelja</w:t>
      </w:r>
      <w:r w:rsidR="00BB4251">
        <w:rPr>
          <w:rFonts w:ascii="Calibri" w:hAnsi="Calibri"/>
          <w:sz w:val="22"/>
          <w:szCs w:val="22"/>
        </w:rPr>
        <w:t xml:space="preserve"> prijave prenositi u skladu sa </w:t>
      </w:r>
      <w:r>
        <w:rPr>
          <w:rFonts w:ascii="Calibri" w:hAnsi="Calibri"/>
          <w:sz w:val="22"/>
          <w:szCs w:val="22"/>
        </w:rPr>
        <w:t xml:space="preserve">provedenim postupkom javne nabave (a najviše do odobrenoga iznosa). Viškove radova i nepredviđene radove Tajništvo neće moći financirati. </w:t>
      </w:r>
    </w:p>
    <w:p w:rsidR="001971EE" w:rsidRPr="00144FE1" w:rsidRDefault="001971EE" w:rsidP="001971EE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Podnositelj prijave, koji je za određeni projekt konkurirao i na drugim mjestima, ima pravo podnošenja prijave i na predmetni natječaj ukoliko u momentu podnošenja prijave nije imao, niti je mogao imati saznanje o tomu je li su mu odobrena sredstva po drugom natječaju za predmetni projekt.</w:t>
      </w:r>
    </w:p>
    <w:p w:rsidR="001971EE" w:rsidRPr="00144FE1" w:rsidRDefault="001971EE" w:rsidP="001971EE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Sredstva osiguranja na ime učešća ustanove  mogu biti vlastita, iz donacija i iz proračuna svih razina vlasti i ova sredstva mogu biti novčana i nenovčana. Nenovčana sredstva su neugrađeni građevinski materijal. </w:t>
      </w:r>
    </w:p>
    <w:p w:rsidR="001971EE" w:rsidRPr="00144FE1" w:rsidRDefault="001971EE" w:rsidP="001971EE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Nakon dodjele sredstva po Natječaju, Korisnik će biti dužan</w:t>
      </w:r>
      <w:r>
        <w:rPr>
          <w:rFonts w:ascii="Calibri" w:hAnsi="Calibri"/>
          <w:sz w:val="22"/>
          <w:szCs w:val="22"/>
        </w:rPr>
        <w:t>:</w:t>
      </w:r>
    </w:p>
    <w:p w:rsidR="001971EE" w:rsidRPr="00144FE1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potpisati ugovor o dodjeli proračunskih sredstava s Tajništvom, kojim će se regulirati  međusobna prava i obveze ugovornih strana;</w:t>
      </w:r>
    </w:p>
    <w:p w:rsidR="001971EE" w:rsidRPr="00144FE1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prije objavljivanja javne nabave na Portalu uprave za javne nabave, dostaviti Tajništvu </w:t>
      </w:r>
      <w:r>
        <w:rPr>
          <w:rFonts w:ascii="Calibri" w:hAnsi="Calibri"/>
          <w:b/>
          <w:sz w:val="22"/>
          <w:szCs w:val="22"/>
          <w:u w:val="single"/>
        </w:rPr>
        <w:t xml:space="preserve">presliku prijedloga odluke o pokretanju postupka javne nabave s procijenjenom vrijednosti radova i s točno navedenim podacima o izvorima financiranja radova </w:t>
      </w:r>
      <w:r>
        <w:rPr>
          <w:rFonts w:ascii="Calibri" w:hAnsi="Calibri"/>
          <w:sz w:val="22"/>
          <w:szCs w:val="22"/>
          <w:u w:val="single"/>
        </w:rPr>
        <w:t>(</w:t>
      </w:r>
      <w:r>
        <w:rPr>
          <w:rFonts w:ascii="Calibri" w:hAnsi="Calibri"/>
          <w:sz w:val="22"/>
          <w:szCs w:val="22"/>
        </w:rPr>
        <w:t>ukoliko je Tajništvo suglasno s prijedlogom odluke o pokretanju postupka javne nabave izdati će korisniku Suglasnost za pokretanje postupka javne nabave);</w:t>
      </w:r>
    </w:p>
    <w:p w:rsidR="001971EE" w:rsidRPr="00144FE1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provede postupak javne nabave (za izbor ponuđača odgovoran je Korisnik i odgovorna osoba u njemu);</w:t>
      </w:r>
    </w:p>
    <w:p w:rsidR="001971EE" w:rsidRPr="009306AC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dostaviti presliku bankarske garancije izabranoga izvođača radova za dobro izvršenje posla;</w:t>
      </w:r>
    </w:p>
    <w:p w:rsidR="001971EE" w:rsidRPr="009306AC" w:rsidRDefault="001971EE" w:rsidP="001971EE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dostaviti presliku </w:t>
      </w:r>
      <w:r>
        <w:rPr>
          <w:rFonts w:ascii="Calibri" w:hAnsi="Calibri"/>
          <w:sz w:val="22"/>
          <w:szCs w:val="22"/>
        </w:rPr>
        <w:t>bankarske garancije izabranoga izvođača radova za povrat avansnoga plaćanja ukoliko je Korisnik ugovorio avansno plaćanje s izabranim ponuđačem;</w:t>
      </w:r>
    </w:p>
    <w:p w:rsidR="001971EE" w:rsidRPr="00D83D1D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angažirati neovisnu osobu kao stručni nadzor nad izvođenjem predmetnih radova;</w:t>
      </w:r>
    </w:p>
    <w:p w:rsidR="001971EE" w:rsidRPr="002F7196" w:rsidRDefault="001971EE" w:rsidP="001971EE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dostaviti rješenje o odobrenju izvođenja predmetnih radova izdanom od strane tijela općinske/gradske uprave nadležne za izdavanje građevinske dozvole.</w:t>
      </w:r>
    </w:p>
    <w:p w:rsidR="001971EE" w:rsidRDefault="001971EE" w:rsidP="001971EE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Ukoliko se, nakon provedenoga postupka javne nabave, između Korisnika i izabranoga izvođača radova zaključi ugovor s iznosom koji je niži od procijenjene vrijednosti radova s kojim je Korisnik aplicirao na natječaj, aneksirat će se ugovor kojim se dodjeljuju Korisniku sredstva od strane Tajništva. Aneksiranjem se umanjuje dodijeljeni iznos sredstava od strane Tajništva u skladu sa stvarno ugovorenim iznosom radova na koji je zaključen ugovor između Korisnika i izabranoga izvođača radova, pri čemu se ne umanjuje iznos s kojim sudjeluje sufinancijer. </w:t>
      </w:r>
    </w:p>
    <w:p w:rsidR="001971EE" w:rsidRPr="006C3242" w:rsidRDefault="001971EE" w:rsidP="001971EE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1971EE" w:rsidRPr="00144FE1" w:rsidRDefault="001971EE" w:rsidP="001971E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:rsidR="001971EE" w:rsidRPr="008A76F8" w:rsidRDefault="001971EE" w:rsidP="001971EE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podnose na jedinstvenom natječajnom obrascu Tajništva. Kompletna natječajna dokumentacija može se preuzeti od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25.02.2019. godine</w:t>
      </w:r>
      <w:r>
        <w:rPr>
          <w:rFonts w:ascii="Calibri" w:hAnsi="Calibri"/>
          <w:sz w:val="22"/>
          <w:szCs w:val="22"/>
        </w:rPr>
        <w:t xml:space="preserve"> na veb-adresi  Tajništva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1971EE" w:rsidRPr="008A76F8" w:rsidRDefault="001971EE" w:rsidP="001971EE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971EE" w:rsidRDefault="001971EE" w:rsidP="001971E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dostavljaju putem pošte na adresu: Pokrajinsko tajništvo za obrazovanje, propise, upravu i nacionalne manjine ‒ nacionalne zajednice s naznakom „Za natječaj – za financiranje i sufinanciranje rekonstrukcije, adaptacije, sanacije i investicijsko održavanje objekata ustanova osnovnog, srednjeg obrazovanja i odgoja, učeničkog standarda i predškolskih ustanova na teritoriju Autonomne Pokrajine Vojvodine za 2019. godinu”, Bulevar Mihajla Pupina 16, 21000 Novi Sad, ili se podnose osobno, predajom na pisarnici pokrajinskih tijela uprave u Novom Sadu (prizemlje zgrade Pokrajinske vlade).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971EE" w:rsidRPr="00812935" w:rsidRDefault="001971EE" w:rsidP="001971EE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971EE" w:rsidRDefault="001971EE" w:rsidP="001971EE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 na natječaj, prilaže se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1971EE" w:rsidRPr="00CE7565" w:rsidRDefault="001971EE" w:rsidP="001971EE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 (u slučaju da ustanova, </w:t>
      </w:r>
      <w:r>
        <w:rPr>
          <w:b/>
          <w:u w:val="single"/>
        </w:rPr>
        <w:t>čiji je osnivač AP Vojvodina</w:t>
      </w:r>
      <w:r>
        <w:rPr>
          <w:b/>
        </w:rPr>
        <w:t>, 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1971EE" w:rsidRPr="00CE7565" w:rsidRDefault="001971EE" w:rsidP="001971EE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 koje izdaje tijelo nadležno za izdavanje građevinske dozvole (ustanove čiji je osnivač AP Vojvodina, koje nisu pribavile rješenje o odobrenju za izvođenje radova, podnose </w:t>
      </w:r>
      <w:r>
        <w:rPr>
          <w:b/>
          <w:u w:val="single"/>
        </w:rPr>
        <w:t>akt nadležnog tijela kojim</w:t>
      </w:r>
      <w:r>
        <w:rPr>
          <w:b/>
        </w:rPr>
        <w:t xml:space="preserve"> se potvrđuje da je priložena tehnička dokumentacija kompletna i odgovarajuća, na temelju koje će se po dobivanju suglasnosti Pokrajinske vlade za izvođenje radova izdati rješenje o odobrenju za izvođenje radova);</w:t>
      </w:r>
    </w:p>
    <w:p w:rsidR="001971EE" w:rsidRPr="00FD5D73" w:rsidRDefault="001971EE" w:rsidP="001971EE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predmer i predračun radova potpisan i ovjereni od strane odgovornog projektanta (dokument ne stariji od šest mjeseci s numeriranim stranicama, obvezno treba sadržati datum izrade); </w:t>
      </w:r>
    </w:p>
    <w:p w:rsidR="001971EE" w:rsidRPr="00912346" w:rsidRDefault="001971EE" w:rsidP="001971EE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u slučaju novčanog sufinanciranja</w:t>
      </w:r>
      <w:r>
        <w:rPr>
          <w:b/>
        </w:rPr>
        <w:t xml:space="preserve"> dostaviti dokaz  o osiguranim sredstvima za sufinanciranje radova (ugovor, rješenje, izvod iz proračuna jedinice lokalne samouprave  i slično) zajedno s uredno potpisanom i pečatiranom Izjavom o učešću u sufinanciranju predmetnih radova (Izjavu dostaviti u slobodnoj formi); </w:t>
      </w:r>
    </w:p>
    <w:p w:rsidR="001971EE" w:rsidRPr="00144FE1" w:rsidRDefault="001971EE" w:rsidP="001971EE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rFonts w:asciiTheme="minorHAnsi" w:hAnsiTheme="minorHAnsi"/>
          <w:b/>
          <w:u w:val="single"/>
        </w:rPr>
        <w:t>u slučaju nenovčanog sufinanciranja</w:t>
      </w:r>
      <w:r>
        <w:rPr>
          <w:rFonts w:asciiTheme="minorHAnsi" w:hAnsiTheme="minorHAnsi"/>
          <w:b/>
        </w:rPr>
        <w:t xml:space="preserve"> (neugrađeni građevinski materijal),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dokaz o istraživanju tržišne cijene graditeljskoga materijala na teritoriju APV suglasno Zakonu o javnim nabavama,</w:t>
      </w:r>
      <w:r>
        <w:rPr>
          <w:rFonts w:asciiTheme="minorHAnsi" w:hAnsiTheme="minorHAnsi"/>
        </w:rPr>
        <w:t xml:space="preserve"> </w:t>
      </w:r>
      <w:r>
        <w:rPr>
          <w:b/>
        </w:rPr>
        <w:t>zajedno s uredno potpisanom i pečatiranom Izjavom Korisnika o sufinanciranju predmetnih radova s neugrađenim građevinskim materijalom (Izjavu dostaviti u slobodnoj formi uz navođenje vrste, količine i vrijednosti graditeljskog materijala koji će se upotrijebiti);</w:t>
      </w:r>
    </w:p>
    <w:p w:rsidR="001971EE" w:rsidRPr="00812935" w:rsidRDefault="001971EE" w:rsidP="001971EE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22.03.2019. godine. </w:t>
      </w:r>
    </w:p>
    <w:p w:rsidR="001971EE" w:rsidRPr="00BC7C22" w:rsidRDefault="001971EE" w:rsidP="001971E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odijelu sredstava odrediti ispunjenje potrebnih uvjeta.</w:t>
      </w:r>
    </w:p>
    <w:p w:rsidR="001971EE" w:rsidRPr="00540176" w:rsidRDefault="001971EE" w:rsidP="001971EE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Povjerenstvo neće razmatrati : </w:t>
      </w:r>
    </w:p>
    <w:p w:rsidR="001971EE" w:rsidRPr="00540176" w:rsidRDefault="001971EE" w:rsidP="001971EE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nepotpune prijave;  </w:t>
      </w:r>
    </w:p>
    <w:p w:rsidR="001971EE" w:rsidRPr="00540176" w:rsidRDefault="001971EE" w:rsidP="001971EE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lastRenderedPageBreak/>
        <w:t xml:space="preserve">nepravodobne prijave (prijave poslane nakon roka koji je označen kao posljednji dan natječaja); </w:t>
      </w:r>
    </w:p>
    <w:p w:rsidR="001971EE" w:rsidRPr="00540176" w:rsidRDefault="001971EE" w:rsidP="001971EE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nedopuštene prijave (prijave koje su podnijele neovlaštene osobe i subjekti koji nisu predviđeni natječajem);</w:t>
      </w:r>
    </w:p>
    <w:p w:rsidR="001971EE" w:rsidRPr="00540176" w:rsidRDefault="001971EE" w:rsidP="001971EE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prijav</w:t>
      </w:r>
      <w:r w:rsidR="00BB4251">
        <w:rPr>
          <w:rFonts w:ascii="Calibri" w:hAnsi="Calibri"/>
        </w:rPr>
        <w:t>e koje se ne odnose na natječaje</w:t>
      </w:r>
      <w:r>
        <w:rPr>
          <w:rFonts w:ascii="Calibri" w:hAnsi="Calibri"/>
        </w:rPr>
        <w:t xml:space="preserve">m predviđene namjene; </w:t>
      </w:r>
    </w:p>
    <w:p w:rsidR="001971EE" w:rsidRPr="00540176" w:rsidRDefault="001971EE" w:rsidP="001971EE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prijave korisnika koji u prethodnom razdoblju financijskim i narativnim izvješćima nisu opravdali sredstva dodijeljena iz pokrajinskog proračuna.</w:t>
      </w:r>
    </w:p>
    <w:p w:rsidR="001971EE" w:rsidRPr="00540176" w:rsidRDefault="001971EE" w:rsidP="001971EE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1971EE" w:rsidRPr="00BC7C22" w:rsidRDefault="001971EE" w:rsidP="001971E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brojeve telefona:  021/487 4036  i 021/ 487 4614.</w:t>
      </w:r>
    </w:p>
    <w:p w:rsidR="001971EE" w:rsidRPr="00540176" w:rsidRDefault="001971EE" w:rsidP="001971EE">
      <w:pPr>
        <w:rPr>
          <w:rFonts w:ascii="Calibri" w:hAnsi="Calibri"/>
          <w:sz w:val="22"/>
          <w:szCs w:val="22"/>
          <w:lang w:val="sr-Cyrl-CS"/>
        </w:rPr>
      </w:pPr>
    </w:p>
    <w:p w:rsidR="001971EE" w:rsidRDefault="001971EE" w:rsidP="001971EE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Pokrajinski tajnik</w:t>
      </w:r>
    </w:p>
    <w:p w:rsidR="001971EE" w:rsidRPr="001E6C2E" w:rsidRDefault="001971EE" w:rsidP="001971EE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1971EE" w:rsidRPr="00540176" w:rsidRDefault="001971EE" w:rsidP="001971EE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Mihály Nyilas</w:t>
      </w:r>
    </w:p>
    <w:p w:rsidR="001971EE" w:rsidRPr="008A76F8" w:rsidRDefault="00BB4251" w:rsidP="001971EE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:rsidR="001971EE" w:rsidRPr="00D51955" w:rsidRDefault="001971EE" w:rsidP="001971EE">
      <w:pPr>
        <w:rPr>
          <w:rFonts w:ascii="Calibri" w:hAnsi="Calibri"/>
          <w:sz w:val="22"/>
          <w:szCs w:val="22"/>
          <w:lang w:val="sr-Cyrl-RS"/>
        </w:rPr>
      </w:pPr>
    </w:p>
    <w:p w:rsidR="00936930" w:rsidRDefault="00936930"/>
    <w:sectPr w:rsidR="00936930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EE"/>
    <w:rsid w:val="001971EE"/>
    <w:rsid w:val="00936930"/>
    <w:rsid w:val="00B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9508-13A9-4B91-88AF-A9B9B44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971EE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1971EE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Hyperlink">
    <w:name w:val="Hyperlink"/>
    <w:uiPriority w:val="99"/>
    <w:rsid w:val="001971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71EE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EE"/>
    <w:rPr>
      <w:rFonts w:ascii="Tahoma" w:eastAsia="Calibri" w:hAnsi="Tahoma" w:cs="Times New Roman"/>
      <w:sz w:val="16"/>
      <w:szCs w:val="16"/>
      <w:lang w:val="hr-HR" w:eastAsia="ja-JP"/>
    </w:rPr>
  </w:style>
  <w:style w:type="character" w:styleId="CommentReference">
    <w:name w:val="annotation reference"/>
    <w:uiPriority w:val="99"/>
    <w:rsid w:val="001971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971EE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1EE"/>
    <w:rPr>
      <w:rFonts w:ascii="Times New Roman" w:eastAsia="Calibri" w:hAnsi="Times New Roman" w:cs="Times New Roman"/>
      <w:sz w:val="20"/>
      <w:szCs w:val="20"/>
      <w:lang w:val="hr-H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EE"/>
    <w:rPr>
      <w:rFonts w:ascii="Times New Roman" w:eastAsia="Calibri" w:hAnsi="Times New Roman" w:cs="Times New Roman"/>
      <w:b/>
      <w:bCs/>
      <w:sz w:val="20"/>
      <w:szCs w:val="20"/>
      <w:lang w:val="hr-HR" w:eastAsia="ja-JP"/>
    </w:rPr>
  </w:style>
  <w:style w:type="paragraph" w:styleId="ListParagraph">
    <w:name w:val="List Paragraph"/>
    <w:basedOn w:val="Normal"/>
    <w:uiPriority w:val="99"/>
    <w:qFormat/>
    <w:rsid w:val="00197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1971E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1971E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971EE"/>
  </w:style>
  <w:style w:type="paragraph" w:customStyle="1" w:styleId="clan">
    <w:name w:val="clan"/>
    <w:basedOn w:val="Normal"/>
    <w:uiPriority w:val="99"/>
    <w:rsid w:val="001971EE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rsid w:val="001971EE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971EE"/>
    <w:rPr>
      <w:rFonts w:ascii="Times New Roman" w:eastAsia="Calibri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1971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1E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1971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E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umpedfont15">
    <w:name w:val="bumpedfont15"/>
    <w:uiPriority w:val="99"/>
    <w:rsid w:val="001971EE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197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Perkovic</dc:creator>
  <cp:keywords/>
  <dc:description/>
  <cp:lastModifiedBy>Ines Perkovic</cp:lastModifiedBy>
  <cp:revision>2</cp:revision>
  <dcterms:created xsi:type="dcterms:W3CDTF">2019-02-22T09:52:00Z</dcterms:created>
  <dcterms:modified xsi:type="dcterms:W3CDTF">2019-02-22T11:29:00Z</dcterms:modified>
</cp:coreProperties>
</file>