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r-Latn-R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887836" w:rsidRPr="00887836" w:rsidRDefault="00887836" w:rsidP="00887836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78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Republica Serbia</w:t>
            </w:r>
          </w:p>
          <w:p w:rsidR="00887836" w:rsidRPr="00887836" w:rsidRDefault="00887836" w:rsidP="00887836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78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Provincia Autonomă Voivodina</w:t>
            </w:r>
          </w:p>
          <w:p w:rsidR="00887836" w:rsidRPr="00887836" w:rsidRDefault="00887836" w:rsidP="00887836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87836" w:rsidRPr="00887836" w:rsidRDefault="00887836" w:rsidP="00887836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87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Secretariatul Provincial pentru Educaţie, Reglementări, Administraţie  </w:t>
            </w:r>
          </w:p>
          <w:p w:rsidR="00F2616C" w:rsidRPr="00887836" w:rsidRDefault="00887836" w:rsidP="00887836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887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Minorităţile Naţionale – Comunităţile Naţionale</w:t>
            </w:r>
          </w:p>
          <w:p w:rsidR="00F2616C" w:rsidRPr="00887836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487 4330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; 487 4262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proofErr w:type="spellStart"/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  <w:proofErr w:type="spellEnd"/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А У </w:t>
      </w:r>
      <w:proofErr w:type="spellStart"/>
      <w:r w:rsidR="00FE23A3">
        <w:rPr>
          <w:rFonts w:ascii="Calibri" w:eastAsia="Times New Roman" w:hAnsi="Calibri" w:cs="Times New Roman"/>
          <w:bCs/>
          <w:lang w:val="sr-Cyrl-CS"/>
        </w:rPr>
        <w:t>АПВ</w:t>
      </w:r>
      <w:proofErr w:type="spellEnd"/>
      <w:r w:rsidR="00FE23A3">
        <w:rPr>
          <w:rFonts w:ascii="Calibri" w:eastAsia="Times New Roman" w:hAnsi="Calibri" w:cs="Times New Roman"/>
          <w:bCs/>
          <w:lang w:val="sr-Cyrl-CS"/>
        </w:rPr>
        <w:t xml:space="preserve"> КОЈЕ РЕАЛИЗУЈУ </w:t>
      </w:r>
      <w:proofErr w:type="spellStart"/>
      <w:r w:rsidR="00FE23A3">
        <w:rPr>
          <w:rFonts w:ascii="Calibri" w:eastAsia="Times New Roman" w:hAnsi="Calibri" w:cs="Times New Roman"/>
          <w:bCs/>
          <w:lang w:val="sr-Cyrl-CS"/>
        </w:rPr>
        <w:t>ДВОЈЕЗИЧ</w:t>
      </w:r>
      <w:proofErr w:type="spellEnd"/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4D50B8" w:rsidRPr="000D3745">
        <w:rPr>
          <w:rFonts w:ascii="Calibri" w:eastAsia="Times New Roman" w:hAnsi="Calibri" w:cs="Times New Roman"/>
          <w:bCs/>
          <w:lang w:val="sr-Cyrl-CS"/>
        </w:rPr>
        <w:t>2020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887836" w:rsidRPr="0039208B" w:rsidRDefault="00887836" w:rsidP="0088783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CERERE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LA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CONCURS</w:t>
      </w:r>
      <w:proofErr w:type="spellEnd"/>
    </w:p>
    <w:p w:rsidR="00887836" w:rsidRPr="0039208B" w:rsidRDefault="00887836" w:rsidP="0088783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INSTITUŢIILE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DE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ÎNVĂŢĂMÂNT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ELEMENTAR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ŞI</w:t>
      </w:r>
      <w:proofErr w:type="spellEnd"/>
      <w:r w:rsidRPr="0039208B">
        <w:rPr>
          <w:rFonts w:ascii="Calibri" w:eastAsia="Times New Roman" w:hAnsi="Calibri" w:cs="Times New Roman"/>
          <w:b/>
          <w:bCs/>
          <w:lang w:val="sr-Cyrl-CS"/>
        </w:rPr>
        <w:t xml:space="preserve"> </w:t>
      </w:r>
      <w:proofErr w:type="spellStart"/>
      <w:r w:rsidRPr="0039208B">
        <w:rPr>
          <w:rFonts w:ascii="Calibri" w:eastAsia="Times New Roman" w:hAnsi="Calibri" w:cs="Times New Roman"/>
          <w:b/>
          <w:bCs/>
          <w:lang w:val="sr-Cyrl-CS"/>
        </w:rPr>
        <w:t>MEDIU</w:t>
      </w:r>
      <w:proofErr w:type="spellEnd"/>
    </w:p>
    <w:p w:rsidR="00887836" w:rsidRPr="0039208B" w:rsidRDefault="00887836" w:rsidP="00887836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ro-RO"/>
        </w:rPr>
      </w:pP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PENTRU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FINANŢAREA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ŞI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COFINANŢAREA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39208B">
        <w:rPr>
          <w:rFonts w:ascii="Calibri" w:eastAsia="Times New Roman" w:hAnsi="Calibri" w:cs="Times New Roman"/>
          <w:bCs/>
          <w:lang w:val="ro-RO"/>
        </w:rPr>
        <w:t xml:space="preserve">ȘCOLILOR ELEMENTARE ȘI MEDII ÎN </w:t>
      </w:r>
      <w:proofErr w:type="spellStart"/>
      <w:r w:rsidR="0039208B">
        <w:rPr>
          <w:rFonts w:ascii="Calibri" w:eastAsia="Times New Roman" w:hAnsi="Calibri" w:cs="Times New Roman"/>
          <w:bCs/>
          <w:lang w:val="ro-RO"/>
        </w:rPr>
        <w:t>P.A.V</w:t>
      </w:r>
      <w:proofErr w:type="spellEnd"/>
      <w:r w:rsidR="0039208B">
        <w:rPr>
          <w:rFonts w:ascii="Calibri" w:eastAsia="Times New Roman" w:hAnsi="Calibri" w:cs="Times New Roman"/>
          <w:bCs/>
          <w:lang w:val="ro-RO"/>
        </w:rPr>
        <w:t>.</w:t>
      </w:r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39208B">
        <w:rPr>
          <w:rFonts w:ascii="Calibri" w:eastAsia="Times New Roman" w:hAnsi="Calibri" w:cs="Times New Roman"/>
          <w:bCs/>
          <w:lang w:val="ro-RO"/>
        </w:rPr>
        <w:t>CU ÎNVĂȚĂMÂNTUL</w:t>
      </w:r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BILINGV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ÎN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proofErr w:type="spellStart"/>
      <w:r w:rsidRPr="00887836">
        <w:rPr>
          <w:rFonts w:ascii="Calibri" w:eastAsia="Times New Roman" w:hAnsi="Calibri" w:cs="Times New Roman"/>
          <w:bCs/>
          <w:lang w:val="sr-Cyrl-CS"/>
        </w:rPr>
        <w:t>ANUL</w:t>
      </w:r>
      <w:proofErr w:type="spellEnd"/>
      <w:r w:rsidRPr="00887836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39208B">
        <w:rPr>
          <w:rFonts w:ascii="Calibri" w:eastAsia="Times New Roman" w:hAnsi="Calibri" w:cs="Times New Roman"/>
          <w:bCs/>
          <w:lang w:val="ro-RO"/>
        </w:rPr>
        <w:t>2020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  <w:p w:rsidR="0039208B" w:rsidRPr="00047400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proofErr w:type="spellStart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>DATE</w:t>
            </w:r>
            <w:proofErr w:type="spellEnd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>GENERALE</w:t>
            </w:r>
            <w:proofErr w:type="spellEnd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>PRIVIND</w:t>
            </w:r>
            <w:proofErr w:type="spellEnd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b/>
                <w:bCs/>
                <w:lang w:val="sr-Cyrl-CS"/>
              </w:rPr>
              <w:t>SEMNATARUL</w:t>
            </w:r>
            <w:proofErr w:type="spellEnd"/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39208B" w:rsidRPr="0039208B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sr-Cyrl-RS"/>
              </w:rPr>
            </w:pPr>
            <w:proofErr w:type="spellStart"/>
            <w:r w:rsidRPr="0039208B">
              <w:rPr>
                <w:rFonts w:ascii="Calibri" w:eastAsia="Times New Roman" w:hAnsi="Calibri" w:cs="Times New Roman"/>
                <w:bCs/>
                <w:lang w:val="sr-Cyrl-RS"/>
              </w:rPr>
              <w:t>Denumirea</w:t>
            </w:r>
            <w:proofErr w:type="spellEnd"/>
            <w:r w:rsidRPr="0039208B">
              <w:rPr>
                <w:rFonts w:ascii="Calibri" w:eastAsia="Times New Roman" w:hAnsi="Calibri" w:cs="Times New Roman"/>
                <w:bCs/>
                <w:lang w:val="sr-Cyrl-R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bCs/>
                <w:lang w:val="sr-Cyrl-RS"/>
              </w:rPr>
              <w:t>persoanei</w:t>
            </w:r>
            <w:proofErr w:type="spellEnd"/>
            <w:r w:rsidRPr="0039208B">
              <w:rPr>
                <w:rFonts w:ascii="Calibri" w:eastAsia="Times New Roman" w:hAnsi="Calibri" w:cs="Times New Roman"/>
                <w:bCs/>
                <w:lang w:val="sr-Cyrl-R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bCs/>
                <w:lang w:val="sr-Cyrl-RS"/>
              </w:rPr>
              <w:t>juridice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39208B" w:rsidRPr="0039208B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Sediul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39208B" w:rsidRPr="0039208B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39208B" w:rsidRPr="0039208B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  <w:p w:rsidR="0039208B" w:rsidRPr="0039208B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E-mail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39208B" w:rsidRPr="0039208B" w:rsidRDefault="0039208B" w:rsidP="0039208B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Persoana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responsabilă</w:t>
            </w:r>
            <w:proofErr w:type="spellEnd"/>
          </w:p>
          <w:p w:rsidR="0039208B" w:rsidRPr="00047400" w:rsidRDefault="0039208B" w:rsidP="0039208B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39208B">
              <w:rPr>
                <w:rFonts w:ascii="Calibri" w:eastAsia="Times New Roman" w:hAnsi="Calibri" w:cs="Times New Roman"/>
                <w:lang w:val="sr-Cyrl-CS"/>
              </w:rPr>
              <w:t>(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directorul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instituţiei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39208B" w:rsidRPr="00F75768" w:rsidRDefault="0039208B" w:rsidP="0039208B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lang w:val="hr-HR"/>
              </w:rPr>
            </w:pPr>
            <w:r w:rsidRPr="00F75768">
              <w:rPr>
                <w:rFonts w:ascii="Calibri" w:eastAsia="Times New Roman" w:hAnsi="Calibri" w:cs="Times New Roman"/>
                <w:bCs/>
                <w:lang w:val="hr-HR"/>
              </w:rPr>
              <w:t>Persoana responsabilă pentru realizarea proiectului</w:t>
            </w:r>
          </w:p>
          <w:p w:rsidR="0039208B" w:rsidRPr="00047400" w:rsidRDefault="0039208B" w:rsidP="0039208B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39208B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(prenumele şi numele, adresa, telefon contact, adresa e-mail)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39208B" w:rsidRPr="00047400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39208B">
              <w:rPr>
                <w:rFonts w:ascii="Calibri" w:eastAsia="Times New Roman" w:hAnsi="Calibri" w:cs="Times New Roman"/>
                <w:lang w:val="hr-HR"/>
              </w:rPr>
              <w:t>Numărul matricol</w:t>
            </w:r>
            <w:bookmarkStart w:id="0" w:name="_GoBack"/>
            <w:bookmarkEnd w:id="0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  <w:p w:rsidR="0039208B" w:rsidRPr="00047400" w:rsidRDefault="0039208B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Contul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deschis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la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Direcția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de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Trezorerie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Contul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39208B">
              <w:rPr>
                <w:rFonts w:ascii="Calibri" w:eastAsia="Times New Roman" w:hAnsi="Calibri" w:cs="Times New Roman"/>
                <w:lang w:val="sr-Cyrl-CS"/>
              </w:rPr>
              <w:t>curent</w:t>
            </w:r>
            <w:proofErr w:type="spellEnd"/>
            <w:r w:rsidRPr="0039208B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  <w:proofErr w:type="spellEnd"/>
          </w:p>
          <w:p w:rsidR="0039208B" w:rsidRPr="0039208B" w:rsidRDefault="0039208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ro-RO"/>
              </w:rPr>
              <w:t>CIF</w:t>
            </w:r>
            <w:proofErr w:type="spellEnd"/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DATE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GENERALE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PRIVIND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REALIZAREA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ÎNVĂȚĂMÂNTULUI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BILINGV</w:t>
            </w:r>
            <w:proofErr w:type="spellEnd"/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0109CF" w:rsidRPr="00047400" w:rsidRDefault="000109CF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109C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Numărul claselor bilingve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Numărul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obiectelor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de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învăţământ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care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se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predau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bilingv</w:t>
            </w:r>
            <w:proofErr w:type="spellEnd"/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Numărul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profesorilor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care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participă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în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învăţământul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bilingv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0109CF" w:rsidRPr="000109CF" w:rsidRDefault="000109CF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  <w:t>F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0109CF" w:rsidRPr="000109CF" w:rsidRDefault="000109CF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  <w:t>B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0109CF" w:rsidRPr="000109CF" w:rsidRDefault="000109CF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0109CF" w:rsidRPr="000109CF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Numărul de elevi în învățământul bilingv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0109CF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109CF" w:rsidRDefault="000109CF" w:rsidP="000109CF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0109CF" w:rsidRPr="000109CF" w:rsidRDefault="000109CF" w:rsidP="000109CF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  <w:t>F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0109CF" w:rsidRDefault="000109CF" w:rsidP="000109CF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0109CF" w:rsidRPr="000109CF" w:rsidRDefault="000109CF" w:rsidP="000109CF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  <w:t>B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0109CF" w:rsidRDefault="000109CF" w:rsidP="000109CF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0109CF" w:rsidRPr="000109CF" w:rsidRDefault="000109CF" w:rsidP="000109CF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0109CF" w:rsidRPr="000109CF" w:rsidRDefault="000109CF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În instituție există programul de bacalaureat internațional și/sau instituția are licența Cambridge?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0109CF" w:rsidRPr="00047400" w:rsidRDefault="000109CF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PLANUL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bCs/>
                <w:lang w:val="sr-Cyrl-CS"/>
              </w:rPr>
              <w:t>FINANCIAR</w:t>
            </w:r>
            <w:proofErr w:type="spellEnd"/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109CF">
              <w:rPr>
                <w:rFonts w:ascii="Calibri" w:eastAsia="Times New Roman" w:hAnsi="Calibri" w:cs="Times New Roman"/>
                <w:lang w:val="hr-HR"/>
              </w:rPr>
              <w:t>VENITURI PLANIFICATE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RS"/>
              </w:rPr>
              <w:t>Nr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RS"/>
              </w:rPr>
              <w:t xml:space="preserve">.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RS"/>
              </w:rPr>
              <w:t>crt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109CF">
              <w:rPr>
                <w:rFonts w:ascii="Calibri" w:eastAsia="Times New Roman" w:hAnsi="Calibri" w:cs="Times New Roman"/>
                <w:lang w:val="hr-HR"/>
              </w:rPr>
              <w:t>VENITURI PLANIFICATE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109CF">
              <w:rPr>
                <w:rFonts w:ascii="Calibri" w:eastAsia="Times New Roman" w:hAnsi="Calibri" w:cs="Times New Roman"/>
                <w:lang w:val="hr-HR"/>
              </w:rPr>
              <w:t>Cuantum în dinari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0109CF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lastRenderedPageBreak/>
              <w:t>REPUBLICA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SERBIA</w:t>
            </w:r>
            <w:proofErr w:type="spellEnd"/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lastRenderedPageBreak/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P.A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.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VOIVODINA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–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SECRETARIATUL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PROVINCIAL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PENTRU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EDUCAŢIE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,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REGLEMENTĂRI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,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ADMINISTRAŢIE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ŞI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MINORITĂŢILE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NAŢIONALE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–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COMUNITĂŢILE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lang w:val="sr-Cyrl-CS"/>
              </w:rPr>
              <w:t>NAŢIONALE</w:t>
            </w:r>
            <w:proofErr w:type="spellEnd"/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AUTOGUVERNAREA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LOCALĂ</w:t>
            </w:r>
            <w:proofErr w:type="spellEnd"/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DONATORI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>/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SPONSORI</w:t>
            </w:r>
            <w:proofErr w:type="spellEnd"/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VENITURI</w:t>
            </w:r>
            <w:proofErr w:type="spellEnd"/>
            <w:r w:rsidRPr="000109CF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PROPRII</w:t>
            </w:r>
            <w:proofErr w:type="spellEnd"/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0109CF" w:rsidRPr="00047400" w:rsidRDefault="000109C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lang w:val="sr-Cyrl-CS"/>
              </w:rPr>
              <w:t>RESTUL</w:t>
            </w:r>
            <w:proofErr w:type="spellEnd"/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0109CF" w:rsidRPr="00047400" w:rsidRDefault="000109CF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109CF">
              <w:rPr>
                <w:rFonts w:ascii="Calibri" w:eastAsia="Times New Roman" w:hAnsi="Calibri" w:cs="Times New Roman"/>
                <w:b/>
                <w:iCs/>
                <w:lang w:val="ru-RU"/>
              </w:rPr>
              <w:t>VENITURI TOTALE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</w:t>
            </w:r>
            <w:proofErr w:type="spellStart"/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НАЦИОНАЛННЕ</w:t>
            </w:r>
            <w:proofErr w:type="spellEnd"/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0109CF" w:rsidRPr="000109CF" w:rsidRDefault="000109C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CHELTUIELI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PLANIFICATE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DE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CĂTRE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SECRETARIATUL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PROVINCIAL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PENTRU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EDUCAŢIE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REGLEMENTĂRI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ADMINISTRAŢIE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ŞI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MINORITĂŢILE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NAŢIONALE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–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COMUNITĂŢILE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NAŢIONALE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PENTRU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ACHIZIŢIA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DE</w:t>
            </w:r>
            <w:proofErr w:type="spellEnd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ECHIPAMENT</w:t>
            </w:r>
            <w:proofErr w:type="spellEnd"/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Nr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.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crt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Tipul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cheltuielilor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(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de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ex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.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achiziţia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tablei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smart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CS"/>
              </w:rPr>
              <w:t>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109CF" w:rsidRPr="00047400" w:rsidRDefault="000109C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RS"/>
              </w:rPr>
              <w:t>Cuantum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RS"/>
              </w:rPr>
              <w:t>în</w:t>
            </w:r>
            <w:proofErr w:type="spellEnd"/>
            <w:r w:rsidRPr="000109CF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0109CF">
              <w:rPr>
                <w:rFonts w:ascii="Calibri" w:eastAsia="Times New Roman" w:hAnsi="Calibri" w:cs="Arial"/>
                <w:color w:val="000000"/>
                <w:lang w:val="sr-Cyrl-RS"/>
              </w:rPr>
              <w:t>dinari</w:t>
            </w:r>
            <w:proofErr w:type="spellEnd"/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109CF" w:rsidRPr="00047400" w:rsidRDefault="00B253C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val="ro-RO"/>
              </w:rPr>
              <w:t>CHELTUIELI</w:t>
            </w:r>
            <w:r w:rsidR="000109CF" w:rsidRPr="000109CF">
              <w:rPr>
                <w:rFonts w:ascii="Calibri" w:eastAsia="Times New Roman" w:hAnsi="Calibri" w:cs="Arial"/>
                <w:b/>
                <w:color w:val="000000"/>
                <w:lang w:val="ru-RU"/>
              </w:rPr>
              <w:t xml:space="preserve"> TOTALE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B253C5" w:rsidRPr="00047400" w:rsidRDefault="00B253C5" w:rsidP="00B2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EXPUNERE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MOTIVE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(a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se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menţiona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justific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area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investiţiei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şi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perioada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realizare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B253C5" w:rsidRPr="00B253C5" w:rsidRDefault="00B253C5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CHELTUIELILE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PLANIFICATE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CĂTRE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SECRETARIATUL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PROVINCIAL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PENTRU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EDUCAŢIE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REGLEMENTĂRI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ADMINISTRAŢIE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ŞI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MINORITĂŢILE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NAŢIONALE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–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COMUNITĂŢILE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NAŢIONALE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PENTRU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FINANŢAREA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EXECUTANŢILOR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CHELTUIELILE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PENTRU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MATERIALUL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ÎNVĂŢĂMÂNT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PERFECŢIONAREA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ANGAJAŢILOR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–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CURSURI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FORMARE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PROFESIONALĂ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A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CADRELOR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DIDACTICE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ÎN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ŢARĂ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ŞI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STRĂINĂTATE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),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CHELTUIELILE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ACHIZIŢIE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A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LITERATURII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DIDACTICE-METODICE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COTIZAŢIA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ANUALĂ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PENTRU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LICENŢA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CENTRULUI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CAMBRIDGE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ŞI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COTIZAŢIA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PENTRU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BACALAUREATUL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INTERNAŢIONAL</w:t>
            </w:r>
            <w:proofErr w:type="spellEnd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 xml:space="preserve"> – </w:t>
            </w:r>
            <w:proofErr w:type="spellStart"/>
            <w:r w:rsidRPr="00B253C5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IB</w:t>
            </w:r>
            <w:proofErr w:type="spellEnd"/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  <w:p w:rsidR="00B253C5" w:rsidRPr="00047400" w:rsidRDefault="00B253C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>Nr</w:t>
            </w:r>
            <w:proofErr w:type="spellEnd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. </w:t>
            </w: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>crt</w:t>
            </w:r>
            <w:proofErr w:type="spellEnd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B253C5" w:rsidRPr="00B253C5" w:rsidRDefault="00B253C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o-RO"/>
              </w:rPr>
            </w:pP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>Tipul</w:t>
            </w:r>
            <w:proofErr w:type="spellEnd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CS"/>
              </w:rPr>
              <w:t>cheltuielilor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val="ro-RO"/>
              </w:rPr>
              <w:t xml:space="preserve"> (de ex. instruirea cadrului didactic)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253C5" w:rsidRPr="00047400" w:rsidRDefault="00B253C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RS"/>
              </w:rPr>
              <w:t>Cuantum</w:t>
            </w:r>
            <w:proofErr w:type="spellEnd"/>
            <w:r w:rsidRPr="00B253C5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RS"/>
              </w:rPr>
              <w:t>în</w:t>
            </w:r>
            <w:proofErr w:type="spellEnd"/>
            <w:r w:rsidRPr="00B253C5">
              <w:rPr>
                <w:rFonts w:ascii="Calibri" w:eastAsia="Times New Roman" w:hAnsi="Calibri" w:cs="Arial"/>
                <w:color w:val="000000"/>
                <w:lang w:val="sr-Cyrl-R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Arial"/>
                <w:color w:val="000000"/>
                <w:lang w:val="sr-Cyrl-RS"/>
              </w:rPr>
              <w:t>dinari</w:t>
            </w:r>
            <w:proofErr w:type="spellEnd"/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253C5" w:rsidRPr="00047400" w:rsidRDefault="00B253C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B253C5">
              <w:rPr>
                <w:rFonts w:ascii="Calibri" w:eastAsia="Times New Roman" w:hAnsi="Calibri" w:cs="Arial"/>
                <w:b/>
                <w:color w:val="000000"/>
                <w:lang w:val="ru-RU"/>
              </w:rPr>
              <w:t>CHELTUIELI TOTALE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B253C5" w:rsidP="00B25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EXPUNERE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MOTIVE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(a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se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menţiona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justificarea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investiţiei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şi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perioada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de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realizare</w:t>
            </w:r>
            <w:proofErr w:type="spellEnd"/>
            <w:r w:rsidRPr="00B253C5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B253C5" w:rsidRPr="00047400" w:rsidRDefault="00B253C5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B253C5">
        <w:rPr>
          <w:rFonts w:ascii="Calibri" w:eastAsia="Times New Roman" w:hAnsi="Calibri" w:cs="Times New Roman"/>
          <w:b/>
          <w:sz w:val="20"/>
          <w:szCs w:val="20"/>
          <w:lang w:val="ru-RU"/>
        </w:rPr>
        <w:t>Menţiune</w:t>
      </w:r>
      <w:r w:rsidRPr="00B253C5">
        <w:rPr>
          <w:rFonts w:ascii="Calibri" w:eastAsia="Times New Roman" w:hAnsi="Calibri" w:cs="Times New Roman"/>
          <w:sz w:val="20"/>
          <w:szCs w:val="20"/>
          <w:lang w:val="ru-RU"/>
        </w:rPr>
        <w:t xml:space="preserve"> : În tabelul B şi C trebuie dată specificarea cheltuielilor care se acoperă din veniturile prezentate în tabelul A punctul 2.</w:t>
      </w: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B253C5" w:rsidRPr="00047400" w:rsidRDefault="00B253C5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B253C5">
        <w:rPr>
          <w:rFonts w:ascii="Calibri" w:eastAsia="Times New Roman" w:hAnsi="Calibri" w:cs="Times New Roman"/>
          <w:b/>
          <w:u w:val="single"/>
          <w:lang w:val="ru-RU"/>
        </w:rPr>
        <w:t>În tabelele B şi C numărul curent prezintă şi numărul priorităţii.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9"/>
        <w:gridCol w:w="7546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B253C5" w:rsidRPr="00047400" w:rsidRDefault="00B253C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val="sr-Cyrl-CS"/>
              </w:rPr>
              <w:t>DECLARAŢIA</w:t>
            </w:r>
            <w:proofErr w:type="spellEnd"/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</w:t>
      </w:r>
      <w:proofErr w:type="spellStart"/>
      <w:r w:rsidRPr="00047400">
        <w:rPr>
          <w:rFonts w:ascii="Calibri" w:eastAsia="Times New Roman" w:hAnsi="Calibri" w:cs="Times New Roman"/>
          <w:lang w:val="sr-Cyrl-CS"/>
        </w:rPr>
        <w:t>СУФИНАНСИЈЕР</w:t>
      </w:r>
      <w:proofErr w:type="spellEnd"/>
      <w:r w:rsidRPr="00047400">
        <w:rPr>
          <w:rFonts w:ascii="Calibri" w:eastAsia="Times New Roman" w:hAnsi="Calibri" w:cs="Times New Roman"/>
          <w:lang w:val="sr-Cyrl-CS"/>
        </w:rPr>
        <w:t xml:space="preserve"> ПРОЈЕКТА</w:t>
      </w:r>
    </w:p>
    <w:p w:rsidR="00B253C5" w:rsidRPr="00B253C5" w:rsidRDefault="00B253C5" w:rsidP="00B253C5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proofErr w:type="spellStart"/>
      <w:r w:rsidRPr="00B253C5">
        <w:rPr>
          <w:rFonts w:ascii="Calibri" w:eastAsia="Times New Roman" w:hAnsi="Calibri" w:cs="Times New Roman"/>
          <w:lang w:val="sr-Cyrl-CS"/>
        </w:rPr>
        <w:t>PRIVIND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ACCEPTAREA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OBLIGAȚIEI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INSTITUȚIEI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ÎN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CAZUL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ÎN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CARE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SECRETARIATUL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PROVINCIAL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ESTE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FINANŢATORUL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>/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COFINANȚATORUL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PROIECTULUI</w:t>
      </w:r>
      <w:proofErr w:type="spellEnd"/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B253C5" w:rsidRPr="00047400" w:rsidRDefault="00B253C5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proofErr w:type="spellStart"/>
      <w:r w:rsidRPr="00B253C5">
        <w:rPr>
          <w:rFonts w:ascii="Calibri" w:eastAsia="Times New Roman" w:hAnsi="Calibri" w:cs="Times New Roman"/>
          <w:lang w:val="sr-Cyrl-CS"/>
        </w:rPr>
        <w:t>Persoana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responsabilă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din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instituție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declară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>: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B253C5" w:rsidRPr="00B253C5" w:rsidRDefault="00B253C5" w:rsidP="00B253C5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ro-RO"/>
        </w:rPr>
      </w:pPr>
      <w:r w:rsidRPr="00B253C5">
        <w:rPr>
          <w:rFonts w:ascii="Calibri" w:eastAsia="Times New Roman" w:hAnsi="Calibri" w:cs="Times New Roman"/>
          <w:lang w:val="ro-RO"/>
        </w:rPr>
        <w:t>1.</w:t>
      </w:r>
      <w:r w:rsidRPr="00B253C5">
        <w:rPr>
          <w:rFonts w:ascii="Calibri" w:eastAsia="Times New Roman" w:hAnsi="Calibri" w:cs="Times New Roman"/>
          <w:lang w:val="ro-RO"/>
        </w:rPr>
        <w:tab/>
        <w:t>că va cheltui mijloacele acordate în mod legal și conform destinației;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B253C5" w:rsidRPr="00047400" w:rsidRDefault="00B253C5" w:rsidP="00B253C5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  <w:r w:rsidRPr="00B253C5">
        <w:rPr>
          <w:rFonts w:ascii="Calibri" w:eastAsia="Times New Roman" w:hAnsi="Calibri" w:cs="Times New Roman"/>
          <w:lang w:val="sr-Cyrl-CS"/>
        </w:rPr>
        <w:t>2.</w:t>
      </w:r>
      <w:r w:rsidRPr="00B253C5">
        <w:rPr>
          <w:rFonts w:ascii="Calibri" w:eastAsia="Times New Roman" w:hAnsi="Calibri" w:cs="Times New Roman"/>
          <w:lang w:val="sr-Cyrl-CS"/>
        </w:rPr>
        <w:tab/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va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prezenta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raportul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privind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folosirea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mijloacelor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cel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târziu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în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termen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15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zile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la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termenul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stabilit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pentru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realizarea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destinației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pentru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care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au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fost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primite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mijloacele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documentația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aferentă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autentificată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către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persoanele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responsabile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>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B253C5" w:rsidRPr="00F5266E" w:rsidRDefault="00B253C5" w:rsidP="00B253C5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  <w:r w:rsidRPr="00B253C5">
        <w:rPr>
          <w:rFonts w:ascii="Calibri" w:eastAsia="Times New Roman" w:hAnsi="Calibri" w:cs="Times New Roman"/>
          <w:lang w:val="sr-Cyrl-CS"/>
        </w:rPr>
        <w:t>3.</w:t>
      </w:r>
      <w:r w:rsidRPr="00B253C5">
        <w:rPr>
          <w:rFonts w:ascii="Calibri" w:eastAsia="Times New Roman" w:hAnsi="Calibri" w:cs="Times New Roman"/>
          <w:lang w:val="sr-Cyrl-CS"/>
        </w:rPr>
        <w:tab/>
      </w:r>
      <w:r>
        <w:rPr>
          <w:rFonts w:ascii="Calibri" w:eastAsia="Times New Roman" w:hAnsi="Calibri" w:cs="Times New Roman"/>
          <w:lang w:val="ro-RO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în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caz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tipărire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a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cărții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publicației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culegerii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>, CD-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urilor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etc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., </w:t>
      </w:r>
      <w:proofErr w:type="spellStart"/>
      <w:r>
        <w:rPr>
          <w:rFonts w:ascii="Calibri" w:eastAsia="Times New Roman" w:hAnsi="Calibri" w:cs="Times New Roman"/>
          <w:lang w:val="sr-Cyrl-CS"/>
        </w:rPr>
        <w:t>va</w:t>
      </w:r>
      <w:proofErr w:type="spellEnd"/>
      <w:r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sr-Cyrl-CS"/>
        </w:rPr>
        <w:t>menționa</w:t>
      </w:r>
      <w:proofErr w:type="spellEnd"/>
      <w:r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>
        <w:rPr>
          <w:rFonts w:ascii="Calibri" w:eastAsia="Times New Roman" w:hAnsi="Calibri" w:cs="Times New Roman"/>
          <w:lang w:val="sr-Cyrl-CS"/>
        </w:rPr>
        <w:t>că</w:t>
      </w:r>
      <w:proofErr w:type="spellEnd"/>
      <w:r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realizarea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acestuia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a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fost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finanţată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/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cofinanțată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Secretariatul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Provincial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pentru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Educație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Reglementări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,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Administrație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și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Minoritățile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Naționale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–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Comunitățile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Naționale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r>
        <w:rPr>
          <w:rFonts w:ascii="Calibri" w:eastAsia="Times New Roman" w:hAnsi="Calibri" w:cs="Times New Roman"/>
          <w:lang w:val="ro-RO"/>
        </w:rPr>
        <w:t xml:space="preserve">și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va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remite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Secretariatului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de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la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unu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până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la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cinci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 xml:space="preserve"> </w:t>
      </w:r>
      <w:proofErr w:type="spellStart"/>
      <w:r w:rsidRPr="00B253C5">
        <w:rPr>
          <w:rFonts w:ascii="Calibri" w:eastAsia="Times New Roman" w:hAnsi="Calibri" w:cs="Times New Roman"/>
          <w:lang w:val="sr-Cyrl-CS"/>
        </w:rPr>
        <w:t>exemplare</w:t>
      </w:r>
      <w:proofErr w:type="spellEnd"/>
      <w:r w:rsidRPr="00B253C5">
        <w:rPr>
          <w:rFonts w:ascii="Calibri" w:eastAsia="Times New Roman" w:hAnsi="Calibri" w:cs="Times New Roman"/>
          <w:lang w:val="sr-Cyrl-CS"/>
        </w:rPr>
        <w:t>;</w:t>
      </w:r>
      <w:r w:rsidRPr="00B253C5">
        <w:t xml:space="preserve"> 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0"/>
        <w:gridCol w:w="2693"/>
        <w:gridCol w:w="2772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B253C5" w:rsidRPr="00B253C5" w:rsidRDefault="00B253C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Data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CS"/>
              </w:rPr>
              <w:t>М.П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CS"/>
              </w:rPr>
              <w:t>.</w:t>
            </w:r>
          </w:p>
          <w:p w:rsidR="00B253C5" w:rsidRPr="00B253C5" w:rsidRDefault="00B253C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L.S.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B253C5" w:rsidRPr="00B253C5" w:rsidRDefault="00B253C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Persoana responsabilă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lastRenderedPageBreak/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B253C5" w:rsidRPr="00B253C5" w:rsidRDefault="00B253C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ro-RO"/>
              </w:rPr>
              <w:t>ANEXE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B253C5" w:rsidRDefault="00047400" w:rsidP="00B253C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B253C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B253C5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D3745" w:rsidRPr="00B253C5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D3745" w:rsidRPr="00B253C5">
        <w:rPr>
          <w:rFonts w:ascii="Arial" w:hAnsi="Arial" w:cs="Arial"/>
          <w:noProof/>
          <w:sz w:val="20"/>
          <w:szCs w:val="20"/>
          <w:lang w:val="sr-Cyrl-RS" w:eastAsia="en-GB"/>
        </w:rPr>
        <w:t>за извођење двојезичке наставе</w:t>
      </w:r>
      <w:r w:rsidR="000E134B" w:rsidRPr="00B253C5">
        <w:rPr>
          <w:rFonts w:ascii="Arial" w:hAnsi="Arial" w:cs="Arial"/>
          <w:noProof/>
          <w:sz w:val="20"/>
          <w:szCs w:val="20"/>
          <w:lang w:val="sr-Cyrl-RS" w:eastAsia="en-GB"/>
        </w:rPr>
        <w:t xml:space="preserve"> у школској </w:t>
      </w:r>
      <w:r w:rsidR="000E134B" w:rsidRPr="00B253C5">
        <w:rPr>
          <w:rFonts w:ascii="Arial" w:hAnsi="Arial" w:cs="Arial"/>
          <w:noProof/>
          <w:sz w:val="18"/>
          <w:szCs w:val="18"/>
          <w:lang w:val="sr-Cyrl-RS" w:eastAsia="en-GB"/>
        </w:rPr>
        <w:t>2019/2020.</w:t>
      </w:r>
      <w:r w:rsidR="000E134B" w:rsidRPr="00B253C5">
        <w:rPr>
          <w:rFonts w:ascii="Arial" w:hAnsi="Arial" w:cs="Arial"/>
          <w:noProof/>
          <w:sz w:val="20"/>
          <w:szCs w:val="20"/>
          <w:lang w:val="sr-Cyrl-RS" w:eastAsia="en-GB"/>
        </w:rPr>
        <w:t xml:space="preserve"> години.</w:t>
      </w:r>
    </w:p>
    <w:p w:rsidR="00B253C5" w:rsidRPr="00B253C5" w:rsidRDefault="00B253C5" w:rsidP="00B253C5">
      <w:pPr>
        <w:pStyle w:val="ListParagraph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  <w:lang w:val="ro-RO" w:eastAsia="en-GB"/>
        </w:rPr>
      </w:pPr>
      <w:r>
        <w:rPr>
          <w:rFonts w:ascii="Arial" w:hAnsi="Arial" w:cs="Arial"/>
          <w:noProof/>
          <w:sz w:val="20"/>
          <w:szCs w:val="20"/>
          <w:lang w:val="ro-RO" w:eastAsia="en-GB"/>
        </w:rPr>
        <w:t>1) fotocopia actului prin care se dovedește a</w:t>
      </w:r>
      <w:r w:rsidR="00F75768">
        <w:rPr>
          <w:rFonts w:ascii="Arial" w:hAnsi="Arial" w:cs="Arial"/>
          <w:noProof/>
          <w:sz w:val="20"/>
          <w:szCs w:val="20"/>
          <w:lang w:val="ro-RO" w:eastAsia="en-GB"/>
        </w:rPr>
        <w:t>vizul primit de către Minister,</w:t>
      </w:r>
      <w:r>
        <w:rPr>
          <w:rFonts w:ascii="Arial" w:hAnsi="Arial" w:cs="Arial"/>
          <w:noProof/>
          <w:sz w:val="20"/>
          <w:szCs w:val="20"/>
          <w:lang w:val="ro-RO" w:eastAsia="en-GB"/>
        </w:rPr>
        <w:t xml:space="preserve"> pentru </w:t>
      </w:r>
      <w:r w:rsidR="00F75768">
        <w:rPr>
          <w:rFonts w:ascii="Arial" w:hAnsi="Arial" w:cs="Arial"/>
          <w:noProof/>
          <w:sz w:val="20"/>
          <w:szCs w:val="20"/>
          <w:lang w:val="ro-RO" w:eastAsia="en-GB"/>
        </w:rPr>
        <w:t>desfășurarea învățământului bilingv în anul școlar 2019/2020.</w:t>
      </w:r>
    </w:p>
    <w:p w:rsidR="00B253C5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253C5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B253C5" w:rsidRPr="00B253C5" w:rsidRDefault="00B253C5" w:rsidP="00B253C5">
      <w:pPr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t>2)</w:t>
      </w:r>
      <w:r w:rsidRPr="00B253C5">
        <w:t xml:space="preserve"> </w:t>
      </w:r>
      <w:r>
        <w:rPr>
          <w:rFonts w:ascii="Arial" w:eastAsia="Times New Roman" w:hAnsi="Arial" w:cs="Arial"/>
          <w:sz w:val="20"/>
          <w:szCs w:val="20"/>
          <w:lang w:val="ro-RO"/>
        </w:rPr>
        <w:t>oferta neasociată</w:t>
      </w:r>
      <w:r w:rsidRPr="00B253C5">
        <w:rPr>
          <w:rFonts w:ascii="Arial" w:eastAsia="Times New Roman" w:hAnsi="Arial" w:cs="Arial"/>
          <w:sz w:val="20"/>
          <w:szCs w:val="20"/>
          <w:lang w:val="ro-RO"/>
        </w:rPr>
        <w:t xml:space="preserve"> pentru cheltuielile de program, </w:t>
      </w:r>
      <w:proofErr w:type="spellStart"/>
      <w:r w:rsidRPr="00B253C5">
        <w:rPr>
          <w:rFonts w:ascii="Arial" w:eastAsia="Times New Roman" w:hAnsi="Arial" w:cs="Arial"/>
          <w:sz w:val="20"/>
          <w:szCs w:val="20"/>
          <w:lang w:val="ro-RO"/>
        </w:rPr>
        <w:t>achiziţia</w:t>
      </w:r>
      <w:proofErr w:type="spellEnd"/>
      <w:r w:rsidRPr="00B253C5">
        <w:rPr>
          <w:rFonts w:ascii="Arial" w:eastAsia="Times New Roman" w:hAnsi="Arial" w:cs="Arial"/>
          <w:sz w:val="20"/>
          <w:szCs w:val="20"/>
          <w:lang w:val="ro-RO"/>
        </w:rPr>
        <w:t xml:space="preserve"> echipamentului (calculul cheltuielilor).</w:t>
      </w:r>
    </w:p>
    <w:p w:rsidR="00B253C5" w:rsidRPr="00B253C5" w:rsidRDefault="00B253C5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047400" w:rsidRPr="00047400" w:rsidRDefault="00B517CA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54" w:rsidRDefault="00986254">
      <w:pPr>
        <w:spacing w:after="0" w:line="240" w:lineRule="auto"/>
      </w:pPr>
      <w:r>
        <w:separator/>
      </w:r>
    </w:p>
  </w:endnote>
  <w:endnote w:type="continuationSeparator" w:id="0">
    <w:p w:rsidR="00986254" w:rsidRDefault="0098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54" w:rsidRDefault="00986254">
      <w:pPr>
        <w:spacing w:after="0" w:line="240" w:lineRule="auto"/>
      </w:pPr>
      <w:r>
        <w:separator/>
      </w:r>
    </w:p>
  </w:footnote>
  <w:footnote w:type="continuationSeparator" w:id="0">
    <w:p w:rsidR="00986254" w:rsidRDefault="0098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986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768">
      <w:rPr>
        <w:rStyle w:val="PageNumber"/>
        <w:noProof/>
      </w:rPr>
      <w:t>6</w:t>
    </w:r>
    <w:r>
      <w:rPr>
        <w:rStyle w:val="PageNumber"/>
      </w:rPr>
      <w:fldChar w:fldCharType="end"/>
    </w:r>
  </w:p>
  <w:p w:rsidR="00BC72A8" w:rsidRDefault="00986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786"/>
    <w:multiLevelType w:val="hybridMultilevel"/>
    <w:tmpl w:val="64965D92"/>
    <w:lvl w:ilvl="0" w:tplc="EF2CEA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09CF"/>
    <w:rsid w:val="00047400"/>
    <w:rsid w:val="000A7128"/>
    <w:rsid w:val="000D3745"/>
    <w:rsid w:val="000D537C"/>
    <w:rsid w:val="000E134B"/>
    <w:rsid w:val="000F3338"/>
    <w:rsid w:val="001372CD"/>
    <w:rsid w:val="001B254C"/>
    <w:rsid w:val="0021543D"/>
    <w:rsid w:val="0026612E"/>
    <w:rsid w:val="0039208B"/>
    <w:rsid w:val="00492178"/>
    <w:rsid w:val="004C1325"/>
    <w:rsid w:val="004D50B8"/>
    <w:rsid w:val="004F57B5"/>
    <w:rsid w:val="00595C74"/>
    <w:rsid w:val="006C76F3"/>
    <w:rsid w:val="0071039D"/>
    <w:rsid w:val="00722441"/>
    <w:rsid w:val="008149D1"/>
    <w:rsid w:val="00887836"/>
    <w:rsid w:val="008A10C7"/>
    <w:rsid w:val="008C1DD6"/>
    <w:rsid w:val="00986254"/>
    <w:rsid w:val="009D32EE"/>
    <w:rsid w:val="00A7080A"/>
    <w:rsid w:val="00AD7ADA"/>
    <w:rsid w:val="00B03531"/>
    <w:rsid w:val="00B253C5"/>
    <w:rsid w:val="00B374FE"/>
    <w:rsid w:val="00B517CA"/>
    <w:rsid w:val="00BB2BD1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75768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2872B5E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Vladimir Mitrovic</cp:lastModifiedBy>
  <cp:revision>3</cp:revision>
  <cp:lastPrinted>2019-02-22T11:21:00Z</cp:lastPrinted>
  <dcterms:created xsi:type="dcterms:W3CDTF">2020-02-19T10:05:00Z</dcterms:created>
  <dcterms:modified xsi:type="dcterms:W3CDTF">2020-02-19T10:37:00Z</dcterms:modified>
</cp:coreProperties>
</file>