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3525"/>
      </w:tblGrid>
      <w:tr w:rsidR="006B0C94" w:rsidRPr="00A712FF" w:rsidTr="00E75F7B">
        <w:trPr>
          <w:trHeight w:val="1975"/>
        </w:trPr>
        <w:tc>
          <w:tcPr>
            <w:tcW w:w="2552" w:type="dxa"/>
            <w:gridSpan w:val="2"/>
          </w:tcPr>
          <w:p w:rsidR="006B0C94" w:rsidRPr="00A712FF" w:rsidRDefault="00A62710" w:rsidP="00E75F7B">
            <w:pPr>
              <w:tabs>
                <w:tab w:val="center" w:pos="4703"/>
              </w:tabs>
              <w:ind w:left="-198" w:firstLine="108"/>
              <w:rPr>
                <w:rFonts w:asciiTheme="minorHAnsi" w:hAnsiTheme="minorHAnsi" w:cstheme="minorHAnsi"/>
                <w:lang w:val="hr-HR"/>
              </w:rPr>
            </w:pPr>
            <w:bookmarkStart w:id="0" w:name="_GoBack"/>
            <w:bookmarkEnd w:id="0"/>
            <w:r w:rsidRPr="00A712F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gridSpan w:val="2"/>
          </w:tcPr>
          <w:p w:rsidR="006B0C94" w:rsidRPr="00A712FF" w:rsidRDefault="00E75F7B" w:rsidP="00E75F7B">
            <w:pPr>
              <w:tabs>
                <w:tab w:val="center" w:pos="4703"/>
              </w:tabs>
              <w:rPr>
                <w:rFonts w:asciiTheme="minorHAnsi" w:hAnsiTheme="minorHAnsi" w:cstheme="minorHAnsi"/>
                <w:lang w:val="hr-HR"/>
              </w:rPr>
            </w:pPr>
            <w:r w:rsidRPr="00A712FF">
              <w:rPr>
                <w:rFonts w:asciiTheme="minorHAnsi" w:hAnsiTheme="minorHAnsi" w:cstheme="minorHAnsi"/>
                <w:lang w:val="hr-HR"/>
              </w:rPr>
              <w:t>Republika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lang w:val="hr-HR"/>
              </w:rPr>
              <w:t>Srbija</w:t>
            </w:r>
          </w:p>
          <w:p w:rsidR="006B0C94" w:rsidRPr="00A712FF" w:rsidRDefault="00E75F7B" w:rsidP="00E75F7B">
            <w:pPr>
              <w:rPr>
                <w:rFonts w:asciiTheme="minorHAnsi" w:hAnsiTheme="minorHAnsi" w:cstheme="minorHAnsi"/>
                <w:lang w:val="hr-HR"/>
              </w:rPr>
            </w:pPr>
            <w:r w:rsidRPr="00A712FF">
              <w:rPr>
                <w:rFonts w:asciiTheme="minorHAnsi" w:hAnsiTheme="minorHAnsi" w:cstheme="minorHAnsi"/>
                <w:lang w:val="hr-HR"/>
              </w:rPr>
              <w:t>Autonomna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lang w:val="hr-HR"/>
              </w:rPr>
              <w:t>Pokrajina Vojvodina</w:t>
            </w:r>
          </w:p>
          <w:p w:rsidR="006B0C94" w:rsidRPr="00A712FF" w:rsidRDefault="00E75F7B" w:rsidP="00E75F7B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A712FF">
              <w:rPr>
                <w:rFonts w:asciiTheme="minorHAnsi" w:hAnsiTheme="minorHAnsi" w:cstheme="minorHAnsi"/>
                <w:b/>
                <w:lang w:val="hr-HR"/>
              </w:rPr>
              <w:t>Pokrajinsko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tajništvo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za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obrazovanje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,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propise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>,</w:t>
            </w:r>
          </w:p>
          <w:p w:rsidR="006B0C94" w:rsidRPr="00A712FF" w:rsidRDefault="00E75F7B" w:rsidP="00E75F7B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A712FF">
              <w:rPr>
                <w:rFonts w:asciiTheme="minorHAnsi" w:hAnsiTheme="minorHAnsi" w:cstheme="minorHAnsi"/>
                <w:b/>
                <w:lang w:val="hr-HR"/>
              </w:rPr>
              <w:t>upravu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i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nacionalne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manjine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–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nacionalne</w:t>
            </w:r>
            <w:r w:rsidR="006B0C94" w:rsidRPr="00A712FF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b/>
                <w:lang w:val="hr-HR"/>
              </w:rPr>
              <w:t>zajednice</w:t>
            </w:r>
          </w:p>
          <w:p w:rsidR="006B0C94" w:rsidRPr="00A712FF" w:rsidRDefault="00E75F7B" w:rsidP="00E75F7B">
            <w:pPr>
              <w:tabs>
                <w:tab w:val="center" w:pos="4703"/>
              </w:tabs>
              <w:rPr>
                <w:rFonts w:asciiTheme="minorHAnsi" w:hAnsiTheme="minorHAnsi" w:cstheme="minorHAnsi"/>
                <w:lang w:val="hr-HR"/>
              </w:rPr>
            </w:pPr>
            <w:r w:rsidRPr="00A712FF">
              <w:rPr>
                <w:rFonts w:asciiTheme="minorHAnsi" w:hAnsiTheme="minorHAnsi" w:cstheme="minorHAnsi"/>
                <w:lang w:val="hr-HR"/>
              </w:rPr>
              <w:t>Bulevar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lang w:val="hr-HR"/>
              </w:rPr>
              <w:t>Mihajla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lang w:val="hr-HR"/>
              </w:rPr>
              <w:t>Pupina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 16, 21000 </w:t>
            </w:r>
            <w:r w:rsidRPr="00A712FF">
              <w:rPr>
                <w:rFonts w:asciiTheme="minorHAnsi" w:hAnsiTheme="minorHAnsi" w:cstheme="minorHAnsi"/>
                <w:lang w:val="hr-HR"/>
              </w:rPr>
              <w:t>Novi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A712FF">
              <w:rPr>
                <w:rFonts w:asciiTheme="minorHAnsi" w:hAnsiTheme="minorHAnsi" w:cstheme="minorHAnsi"/>
                <w:lang w:val="hr-HR"/>
              </w:rPr>
              <w:t>Sad</w:t>
            </w:r>
          </w:p>
          <w:p w:rsidR="006B0C94" w:rsidRPr="00A712FF" w:rsidRDefault="00E75F7B" w:rsidP="00E75F7B">
            <w:pPr>
              <w:tabs>
                <w:tab w:val="center" w:pos="4703"/>
              </w:tabs>
              <w:rPr>
                <w:rFonts w:asciiTheme="minorHAnsi" w:hAnsiTheme="minorHAnsi" w:cstheme="minorHAnsi"/>
                <w:lang w:val="hr-HR"/>
              </w:rPr>
            </w:pPr>
            <w:r w:rsidRPr="00A712FF">
              <w:rPr>
                <w:rFonts w:asciiTheme="minorHAnsi" w:hAnsiTheme="minorHAnsi" w:cstheme="minorHAnsi"/>
                <w:lang w:val="hr-HR"/>
              </w:rPr>
              <w:t>T</w:t>
            </w:r>
            <w:r w:rsidR="006B0C94" w:rsidRPr="00A712FF">
              <w:rPr>
                <w:rFonts w:asciiTheme="minorHAnsi" w:hAnsiTheme="minorHAnsi" w:cstheme="minorHAnsi"/>
                <w:lang w:val="hr-HR"/>
              </w:rPr>
              <w:t xml:space="preserve">: +381 21  487  </w:t>
            </w:r>
            <w:r w:rsidR="00801621" w:rsidRPr="00A712FF">
              <w:rPr>
                <w:rFonts w:asciiTheme="minorHAnsi" w:hAnsiTheme="minorHAnsi" w:cstheme="minorHAnsi"/>
                <w:lang w:val="hr-HR"/>
              </w:rPr>
              <w:t>48 67 ; 487 41-57</w:t>
            </w:r>
          </w:p>
          <w:p w:rsidR="006B0C94" w:rsidRPr="00A712FF" w:rsidRDefault="00916FA9" w:rsidP="00E75F7B">
            <w:pPr>
              <w:tabs>
                <w:tab w:val="center" w:pos="4703"/>
              </w:tabs>
              <w:rPr>
                <w:rFonts w:asciiTheme="minorHAnsi" w:hAnsiTheme="minorHAnsi" w:cstheme="minorHAnsi"/>
                <w:lang w:val="hr-HR"/>
              </w:rPr>
            </w:pPr>
            <w:hyperlink r:id="rId7" w:history="1">
              <w:r w:rsidR="006B0C94" w:rsidRPr="00A712FF">
                <w:rPr>
                  <w:rStyle w:val="Hyperlink"/>
                  <w:rFonts w:asciiTheme="minorHAnsi" w:hAnsiTheme="minorHAnsi" w:cstheme="minorHAnsi"/>
                  <w:color w:val="auto"/>
                  <w:lang w:val="hr-HR"/>
                </w:rPr>
                <w:t>ounz@vojvodin</w:t>
              </w:r>
              <w:r w:rsidR="00E75F7B" w:rsidRPr="00A712FF">
                <w:rPr>
                  <w:rStyle w:val="Hyperlink"/>
                  <w:rFonts w:asciiTheme="minorHAnsi" w:hAnsiTheme="minorHAnsi" w:cstheme="minorHAnsi"/>
                  <w:color w:val="auto"/>
                  <w:lang w:val="hr-HR"/>
                </w:rPr>
                <w:t>a</w:t>
              </w:r>
              <w:r w:rsidR="006B0C94" w:rsidRPr="00A712FF">
                <w:rPr>
                  <w:rStyle w:val="Hyperlink"/>
                  <w:rFonts w:asciiTheme="minorHAnsi" w:hAnsiTheme="minorHAnsi" w:cstheme="minorHAnsi"/>
                  <w:color w:val="auto"/>
                  <w:lang w:val="hr-HR"/>
                </w:rPr>
                <w:t>.gov.rs</w:t>
              </w:r>
            </w:hyperlink>
          </w:p>
          <w:p w:rsidR="006B0C94" w:rsidRPr="00A712FF" w:rsidRDefault="006B0C94" w:rsidP="00E75F7B">
            <w:pPr>
              <w:tabs>
                <w:tab w:val="center" w:pos="4703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B0C94" w:rsidRPr="00A712FF" w:rsidTr="00E75F7B">
        <w:trPr>
          <w:trHeight w:val="305"/>
        </w:trPr>
        <w:tc>
          <w:tcPr>
            <w:tcW w:w="1458" w:type="dxa"/>
          </w:tcPr>
          <w:p w:rsidR="006B0C94" w:rsidRPr="00A712FF" w:rsidRDefault="006B0C94" w:rsidP="00E75F7B">
            <w:pPr>
              <w:tabs>
                <w:tab w:val="center" w:pos="4703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981" w:type="dxa"/>
            <w:gridSpan w:val="2"/>
          </w:tcPr>
          <w:p w:rsidR="006B0C94" w:rsidRPr="00A712FF" w:rsidRDefault="00E75F7B" w:rsidP="00A712FF">
            <w:pPr>
              <w:tabs>
                <w:tab w:val="center" w:pos="4703"/>
              </w:tabs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KLASA</w:t>
            </w:r>
            <w:r w:rsidR="006B0C94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: 128-451-</w:t>
            </w:r>
            <w:r w:rsidR="00C60ADE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541</w:t>
            </w:r>
            <w:r w:rsidR="006B0C94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/20</w:t>
            </w:r>
            <w:r w:rsidR="00C60ADE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3525" w:type="dxa"/>
          </w:tcPr>
          <w:p w:rsidR="006B0C94" w:rsidRPr="00A712FF" w:rsidRDefault="00E75F7B" w:rsidP="00E75F7B">
            <w:pPr>
              <w:tabs>
                <w:tab w:val="center" w:pos="4703"/>
              </w:tabs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DATUM</w:t>
            </w:r>
            <w:r w:rsidR="006B0C94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: </w:t>
            </w:r>
            <w:r w:rsidR="00801621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05</w:t>
            </w:r>
            <w:r w:rsidR="006B0C94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.02.20</w:t>
            </w:r>
            <w:r w:rsidR="00801621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20</w:t>
            </w:r>
            <w:r w:rsidR="006B0C94" w:rsidRPr="00A712FF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</w:tbl>
    <w:p w:rsidR="00A501AC" w:rsidRPr="00A712FF" w:rsidRDefault="00E75F7B" w:rsidP="00A712FF">
      <w:pPr>
        <w:spacing w:before="360"/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temelju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članka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3.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Pravilnika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dodjeli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proračunskih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-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financiranje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sufinanciranje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program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a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području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osnovnog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srednjeg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odgoja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Autonomnoj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Pokrajini Vojvodini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926ABE" w:rsidRPr="00A712FF">
        <w:rPr>
          <w:rFonts w:asciiTheme="minorHAnsi" w:hAnsiTheme="minorHAnsi" w:cstheme="minorHAnsi"/>
          <w:sz w:val="22"/>
          <w:szCs w:val="22"/>
          <w:lang w:val="hr-HR"/>
        </w:rPr>
        <w:t>(„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Službeni</w:t>
      </w:r>
      <w:r w:rsidR="00926ABE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list</w:t>
      </w:r>
      <w:r w:rsidR="00926ABE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APV</w:t>
      </w:r>
      <w:r w:rsidR="00926ABE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“,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br</w:t>
      </w:r>
      <w:r w:rsidR="00926ABE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45007" w:rsidRPr="00A712FF">
        <w:rPr>
          <w:rFonts w:asciiTheme="minorHAnsi" w:hAnsiTheme="minorHAnsi" w:cstheme="minorHAnsi"/>
          <w:sz w:val="22"/>
          <w:szCs w:val="22"/>
          <w:lang w:val="hr-HR"/>
        </w:rPr>
        <w:t>7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/1</w:t>
      </w:r>
      <w:r w:rsidR="00926ABE" w:rsidRPr="00A712FF">
        <w:rPr>
          <w:rFonts w:asciiTheme="minorHAnsi" w:hAnsiTheme="minorHAnsi" w:cstheme="minorHAnsi"/>
          <w:sz w:val="22"/>
          <w:szCs w:val="22"/>
          <w:lang w:val="hr-HR"/>
        </w:rPr>
        <w:t>9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),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vezi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skupštinskom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odlukom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proračunu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Autonomne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Pokrajine Vojvodine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20</w:t>
      </w:r>
      <w:r w:rsidR="00801621" w:rsidRPr="00A712FF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godinu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(„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Službeni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list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APV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“,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br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1B037A" w:rsidRPr="00A712FF">
        <w:rPr>
          <w:rFonts w:asciiTheme="minorHAnsi" w:hAnsiTheme="minorHAnsi" w:cstheme="minorHAnsi"/>
          <w:sz w:val="22"/>
          <w:szCs w:val="22"/>
          <w:lang w:val="hr-HR"/>
        </w:rPr>
        <w:t>54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/1</w:t>
      </w:r>
      <w:r w:rsidR="001B037A" w:rsidRPr="00A712FF">
        <w:rPr>
          <w:rFonts w:asciiTheme="minorHAnsi" w:hAnsiTheme="minorHAnsi" w:cstheme="minorHAnsi"/>
          <w:sz w:val="22"/>
          <w:szCs w:val="22"/>
          <w:lang w:val="hr-HR"/>
        </w:rPr>
        <w:t>9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),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manjine 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raspisuje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:rsidR="00A501AC" w:rsidRPr="00A712FF" w:rsidRDefault="00A501AC" w:rsidP="00E75F7B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E75F7B" w:rsidP="00E75F7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NATJEČAJ</w:t>
      </w:r>
    </w:p>
    <w:p w:rsidR="00A501AC" w:rsidRPr="00A712FF" w:rsidRDefault="00E75F7B" w:rsidP="00E75F7B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ZA FINANCIRANJE I SUFINANCIRANJE PROJEKATA U PODRUČJU PODIZANJA KVALITETE OBRAZOVNO – ODGOJNOG PROCESA  SREDNJEG OBRAZOVANJA – TROŠKOVI ORGANIZIRANOG PRIJEVOZA UČENIKA SREDNJIH ŠKOLA SA SJEDIŠTEM U  AP VOJVODINI NA SAJAM OBRAZOVANJA U NOVOM SADU  ZA 2020. GODINU</w:t>
      </w:r>
    </w:p>
    <w:p w:rsidR="00142C4C" w:rsidRPr="00A712FF" w:rsidRDefault="00142C4C" w:rsidP="00E75F7B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A501AC" w:rsidRPr="00A712FF" w:rsidRDefault="00E75F7B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manjine 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nacionale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skladu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Financijskim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planom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financijskim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mogućnostima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proračun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skoj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20</w:t>
      </w:r>
      <w:r w:rsidR="00801621" w:rsidRPr="00A712FF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godini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finan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irati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sufinan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irati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projekte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području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podizanja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kvalitet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obrazovno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odgoj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procesa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srednjeg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troškovi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organiz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ir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anog</w:t>
      </w:r>
      <w:r w:rsidR="006B0C94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evoza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škola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edištem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APV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Sajam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Novom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Sadu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20</w:t>
      </w:r>
      <w:r w:rsidR="00801621" w:rsidRPr="00A712FF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godinu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znosu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3.000.000,00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dinara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:rsidR="00A501AC" w:rsidRPr="00A712FF" w:rsidRDefault="00E75F7B" w:rsidP="00DD7DB7">
      <w:pPr>
        <w:spacing w:before="60"/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Pravo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sudjel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Natječaju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imaju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ustanove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srednjeg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teritorij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AP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Vojvodine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čiji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osnivač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Republika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Srbija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autonomna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jedinica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lokalne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samouprave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Navedena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nam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enjena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podizanje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kvalitet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obrazovno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odgoj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procesa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srednjeg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-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troškove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organiz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ir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anog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evoza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škola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edištem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APV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Sajam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održati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razdoblju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960D20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0</w:t>
      </w:r>
      <w:r w:rsidR="00801621" w:rsidRPr="00A712FF">
        <w:rPr>
          <w:rFonts w:asciiTheme="minorHAnsi" w:hAnsiTheme="minorHAnsi" w:cstheme="minorHAnsi"/>
          <w:sz w:val="22"/>
          <w:szCs w:val="22"/>
          <w:lang w:val="hr-HR"/>
        </w:rPr>
        <w:t>4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07205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</w:t>
      </w:r>
      <w:r w:rsidR="00A07205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0</w:t>
      </w:r>
      <w:r w:rsidR="00801621" w:rsidRPr="00A712FF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142C4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ožujka</w:t>
      </w:r>
      <w:r w:rsidR="00142C4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20</w:t>
      </w:r>
      <w:r w:rsidR="00801621" w:rsidRPr="00A712FF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godine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Novom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Sadu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A501AC" w:rsidRPr="00A712FF" w:rsidRDefault="00E75F7B" w:rsidP="00DD7DB7">
      <w:pPr>
        <w:spacing w:before="60"/>
        <w:ind w:firstLine="284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uz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treba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prilož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i/>
          <w:sz w:val="22"/>
          <w:szCs w:val="22"/>
          <w:lang w:val="hr-HR"/>
        </w:rPr>
        <w:t>:</w:t>
      </w:r>
    </w:p>
    <w:p w:rsidR="00A501AC" w:rsidRPr="00A712FF" w:rsidRDefault="00417A25" w:rsidP="00E75F7B">
      <w:pPr>
        <w:numPr>
          <w:ilvl w:val="0"/>
          <w:numId w:val="8"/>
        </w:numPr>
        <w:tabs>
          <w:tab w:val="clear" w:pos="825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presliku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potvrde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pore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zn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identifikaci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jsk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broju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</w:p>
    <w:p w:rsidR="00A501AC" w:rsidRPr="00A712FF" w:rsidRDefault="00E75F7B" w:rsidP="00E75F7B">
      <w:pPr>
        <w:numPr>
          <w:ilvl w:val="0"/>
          <w:numId w:val="8"/>
        </w:numPr>
        <w:tabs>
          <w:tab w:val="clear" w:pos="825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nevezanu</w:t>
      </w:r>
      <w:r w:rsidR="00590D87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ponudu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evoza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Sajam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Novom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Sadu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naznačenim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brojem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sudion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korisnika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usluge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142C4C" w:rsidRPr="00A712FF" w:rsidRDefault="00142C4C" w:rsidP="00E75F7B">
      <w:pPr>
        <w:ind w:left="825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A501AC" w:rsidP="00E75F7B">
      <w:pPr>
        <w:keepNext/>
        <w:spacing w:after="120"/>
        <w:ind w:left="284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b/>
          <w:sz w:val="22"/>
          <w:szCs w:val="22"/>
          <w:lang w:val="hr-HR"/>
        </w:rPr>
        <w:t>ODLUČIVANJE O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b/>
          <w:sz w:val="22"/>
          <w:szCs w:val="22"/>
          <w:lang w:val="hr-HR"/>
        </w:rPr>
        <w:t>ZAHT</w:t>
      </w:r>
      <w:r w:rsidR="00417A25" w:rsidRPr="00A712FF">
        <w:rPr>
          <w:rFonts w:asciiTheme="minorHAnsi" w:hAnsiTheme="minorHAnsi" w:cstheme="minorHAnsi"/>
          <w:b/>
          <w:sz w:val="22"/>
          <w:szCs w:val="22"/>
          <w:lang w:val="hr-HR"/>
        </w:rPr>
        <w:t>J</w:t>
      </w:r>
      <w:r w:rsidR="00E75F7B" w:rsidRPr="00A712FF">
        <w:rPr>
          <w:rFonts w:asciiTheme="minorHAnsi" w:hAnsiTheme="minorHAnsi" w:cstheme="minorHAnsi"/>
          <w:b/>
          <w:sz w:val="22"/>
          <w:szCs w:val="22"/>
          <w:lang w:val="hr-HR"/>
        </w:rPr>
        <w:t>EVIMA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b/>
          <w:sz w:val="22"/>
          <w:szCs w:val="22"/>
          <w:lang w:val="hr-HR"/>
        </w:rPr>
        <w:t>I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b/>
          <w:sz w:val="22"/>
          <w:szCs w:val="22"/>
          <w:lang w:val="hr-HR"/>
        </w:rPr>
        <w:t>NAČIN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b/>
          <w:sz w:val="22"/>
          <w:szCs w:val="22"/>
          <w:lang w:val="hr-HR"/>
        </w:rPr>
        <w:t>APLICIRANJA</w:t>
      </w:r>
    </w:p>
    <w:p w:rsidR="00A501AC" w:rsidRPr="00A712FF" w:rsidRDefault="00E75F7B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eli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korisnicima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odlučuje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tajnik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nadležan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poslove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edlog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Povjerenstva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provođenje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natječaja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razmatra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pristigle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zaht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A501AC" w:rsidRPr="00A712FF" w:rsidRDefault="00E75F7B" w:rsidP="00DD7DB7">
      <w:pPr>
        <w:spacing w:before="60"/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Kriteriji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elu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skladu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član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k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11.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čka</w:t>
      </w:r>
      <w:r w:rsidR="00A22601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2.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alineja</w:t>
      </w:r>
      <w:r w:rsidR="00A22601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1,</w:t>
      </w:r>
      <w:r w:rsidR="00142C4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22601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2.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22601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5.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Pravilnika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eli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proračun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skih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sredstava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–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finan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iranje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sufinan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iranje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projekata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području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osnovnog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srednjeg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odgoja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Autonomnoj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Pokrajini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Vojvodini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veličina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ciljne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skupine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st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uključenosti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ciljne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skupine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kojoj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projekt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nam</w:t>
      </w:r>
      <w:r w:rsidR="00417A25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enjen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uključenost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partnerskih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institucija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realizaciju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projekta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A501AC" w:rsidRPr="00A712FF" w:rsidRDefault="00A501AC" w:rsidP="00E75F7B">
      <w:pPr>
        <w:ind w:left="-180" w:firstLine="90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DD7DB7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zadržava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pravo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telj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zaht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eva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potrebi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zatraž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it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dodatnu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dokumentaciju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ili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informacije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F51C0D" w:rsidRPr="00A712FF" w:rsidRDefault="00E75F7B" w:rsidP="00A712FF">
      <w:pPr>
        <w:spacing w:before="60"/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Ukoliko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prijavu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potpisuje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osoba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ovlaš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enju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neophodno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priložiti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uredno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ovlaš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enje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potpisivanje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iste</w:t>
      </w:r>
      <w:r w:rsidR="00F51C0D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A80502" w:rsidRPr="00A712FF" w:rsidRDefault="00E75F7B" w:rsidP="00A712FF">
      <w:pPr>
        <w:spacing w:before="60"/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Prijava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podnosi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pismenoj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formi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jedinstvenom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obrascu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objavljuje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internet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stranici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Tajništv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A80502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142C4C" w:rsidRPr="00A712FF" w:rsidRDefault="00142C4C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E75F7B" w:rsidP="00E75F7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Jedn</w:t>
      </w:r>
      <w:r w:rsidR="00DD7DB7" w:rsidRPr="00A712FF">
        <w:rPr>
          <w:rFonts w:asciiTheme="minorHAnsi" w:hAnsiTheme="minorHAnsi" w:cstheme="minorHAnsi"/>
          <w:b/>
          <w:sz w:val="22"/>
          <w:szCs w:val="22"/>
          <w:lang w:val="hr-HR"/>
        </w:rPr>
        <w:t>a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pravn</w:t>
      </w:r>
      <w:r w:rsidR="00DD7DB7" w:rsidRPr="00A712FF">
        <w:rPr>
          <w:rFonts w:asciiTheme="minorHAnsi" w:hAnsiTheme="minorHAnsi" w:cstheme="minorHAnsi"/>
          <w:b/>
          <w:sz w:val="22"/>
          <w:szCs w:val="22"/>
          <w:lang w:val="hr-HR"/>
        </w:rPr>
        <w:t>a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b/>
          <w:sz w:val="22"/>
          <w:szCs w:val="22"/>
          <w:lang w:val="hr-HR"/>
        </w:rPr>
        <w:t>osoba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može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podn</w:t>
      </w:r>
      <w:r w:rsidR="00DD7DB7" w:rsidRPr="00A712FF">
        <w:rPr>
          <w:rFonts w:asciiTheme="minorHAnsi" w:hAnsiTheme="minorHAnsi" w:cstheme="minorHAnsi"/>
          <w:b/>
          <w:sz w:val="22"/>
          <w:szCs w:val="22"/>
          <w:lang w:val="hr-HR"/>
        </w:rPr>
        <w:t>ijeti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jednu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prijavu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:rsidR="00142C4C" w:rsidRPr="00A712FF" w:rsidRDefault="00142C4C" w:rsidP="00E75F7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A501AC" w:rsidRPr="00A712FF" w:rsidRDefault="00E75F7B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Rezultati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natječaja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objavljuju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internet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stranici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A501AC" w:rsidRPr="00A712FF" w:rsidRDefault="00A501AC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E75F7B" w:rsidP="00E75F7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Rok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za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podnošenje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prijava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na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natječaj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je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</w:t>
      </w:r>
      <w:r w:rsidR="00926ABE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2</w:t>
      </w:r>
      <w:r w:rsidR="00325138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0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. </w:t>
      </w:r>
      <w:r w:rsidR="00DD7DB7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veljače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 20</w:t>
      </w:r>
      <w:r w:rsidR="00325138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20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 xml:space="preserve">. </w:t>
      </w:r>
      <w:r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godine</w:t>
      </w:r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.</w:t>
      </w:r>
    </w:p>
    <w:p w:rsidR="00A501AC" w:rsidRPr="00A712FF" w:rsidRDefault="00A501AC" w:rsidP="00E75F7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E75F7B" w:rsidP="00E75F7B">
      <w:pPr>
        <w:ind w:left="-180" w:firstLine="46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potrebnom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dokumentacijom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podnose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adresu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A501AC" w:rsidRPr="00A712FF" w:rsidRDefault="00E75F7B" w:rsidP="00E75F7B">
      <w:pPr>
        <w:ind w:left="-180" w:firstLine="900"/>
        <w:jc w:val="center"/>
        <w:outlineLvl w:val="0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tajništvo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upravu</w:t>
      </w:r>
    </w:p>
    <w:p w:rsidR="00A501AC" w:rsidRPr="00A712FF" w:rsidRDefault="00E75F7B" w:rsidP="00E75F7B">
      <w:pPr>
        <w:ind w:left="-180" w:firstLine="900"/>
        <w:jc w:val="center"/>
        <w:outlineLvl w:val="0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zajednice</w:t>
      </w:r>
    </w:p>
    <w:p w:rsidR="00A501AC" w:rsidRPr="00A712FF" w:rsidRDefault="00A501AC" w:rsidP="00E75F7B">
      <w:pPr>
        <w:ind w:left="-180" w:firstLine="90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„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Natječaj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troškove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organiz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ir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anog</w:t>
      </w:r>
      <w:r w:rsidR="00E90805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pr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evoza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Sajam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obrazovanja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“</w:t>
      </w:r>
    </w:p>
    <w:p w:rsidR="00A501AC" w:rsidRPr="00A712FF" w:rsidRDefault="00E75F7B" w:rsidP="00E75F7B">
      <w:pPr>
        <w:ind w:left="-180" w:firstLine="90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Bulevar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Mihajla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Pupina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16</w:t>
      </w:r>
    </w:p>
    <w:p w:rsidR="00A501AC" w:rsidRPr="00A712FF" w:rsidRDefault="00A501AC" w:rsidP="00E75F7B">
      <w:pPr>
        <w:ind w:left="-180" w:firstLine="90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21000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Novi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Sad</w:t>
      </w:r>
    </w:p>
    <w:p w:rsidR="00A501AC" w:rsidRPr="00A712FF" w:rsidRDefault="00A501AC" w:rsidP="00E75F7B">
      <w:pPr>
        <w:ind w:left="-180" w:firstLine="900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DD7DB7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Povjerenstvo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neće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75F7B" w:rsidRPr="00A712FF">
        <w:rPr>
          <w:rFonts w:asciiTheme="minorHAnsi" w:hAnsiTheme="minorHAnsi" w:cstheme="minorHAnsi"/>
          <w:sz w:val="22"/>
          <w:szCs w:val="22"/>
          <w:lang w:val="hr-HR"/>
        </w:rPr>
        <w:t>razmatrati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nepotpune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pravodob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nedopuštene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podne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sen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strane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osoba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neovlaš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subjekata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nisu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predviđeni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natječaje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) 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odnose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natječajem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predviđene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nam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A501AC" w:rsidRPr="00A712FF" w:rsidRDefault="00E75F7B" w:rsidP="00E75F7B">
      <w:pPr>
        <w:pStyle w:val="ListParagraph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prijave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korisnika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prethodnom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razdoblju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nisu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opravdali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dod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eljena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sredstva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putem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finan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ijskih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narativnih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izv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j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eš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ć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A501AC" w:rsidRPr="00A712FF" w:rsidRDefault="00E75F7B" w:rsidP="00A712FF">
      <w:pPr>
        <w:spacing w:before="120"/>
        <w:ind w:firstLine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Obrazac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upitnika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može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preuzeti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od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E61C30" w:rsidRPr="00A712FF">
        <w:rPr>
          <w:rFonts w:asciiTheme="minorHAnsi" w:hAnsiTheme="minorHAnsi" w:cstheme="minorHAnsi"/>
          <w:b/>
          <w:sz w:val="22"/>
          <w:szCs w:val="22"/>
          <w:lang w:val="hr-HR"/>
        </w:rPr>
        <w:t>05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</w:t>
      </w:r>
      <w:r w:rsidR="00DD7DB7" w:rsidRPr="00A712FF">
        <w:rPr>
          <w:rFonts w:asciiTheme="minorHAnsi" w:hAnsiTheme="minorHAnsi" w:cstheme="minorHAnsi"/>
          <w:b/>
          <w:sz w:val="22"/>
          <w:szCs w:val="22"/>
          <w:lang w:val="hr-HR"/>
        </w:rPr>
        <w:t>veljače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 20</w:t>
      </w:r>
      <w:r w:rsidR="00E61C30" w:rsidRPr="00A712FF">
        <w:rPr>
          <w:rFonts w:asciiTheme="minorHAnsi" w:hAnsiTheme="minorHAnsi" w:cstheme="minorHAnsi"/>
          <w:b/>
          <w:sz w:val="22"/>
          <w:szCs w:val="22"/>
          <w:lang w:val="hr-HR"/>
        </w:rPr>
        <w:t>20</w:t>
      </w:r>
      <w:r w:rsidR="00A501AC" w:rsidRPr="00A712FF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</w:t>
      </w:r>
      <w:r w:rsidRPr="00A712FF">
        <w:rPr>
          <w:rFonts w:asciiTheme="minorHAnsi" w:hAnsiTheme="minorHAnsi" w:cstheme="minorHAnsi"/>
          <w:b/>
          <w:sz w:val="22"/>
          <w:szCs w:val="22"/>
          <w:lang w:val="hr-HR"/>
        </w:rPr>
        <w:t>godine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zvaničnoj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w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eb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prezentaciji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Pokrajinskog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>tajništva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obrazovanje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propise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upravu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manjine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-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nacionalne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zajednice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hyperlink r:id="rId8" w:history="1">
        <w:r w:rsidR="00A501AC" w:rsidRPr="00A712FF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="00A501AC" w:rsidRPr="00A712FF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.</w:t>
      </w:r>
    </w:p>
    <w:p w:rsidR="00142C4C" w:rsidRPr="00A712FF" w:rsidRDefault="00142C4C" w:rsidP="00E75F7B">
      <w:pPr>
        <w:ind w:left="-180" w:firstLine="90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</w:p>
    <w:p w:rsidR="00A501AC" w:rsidRPr="00A712FF" w:rsidRDefault="00E75F7B" w:rsidP="00E75F7B">
      <w:pPr>
        <w:ind w:firstLine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Informacije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vezi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7DB7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natječaja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dobiti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telefon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:</w:t>
      </w:r>
      <w:r w:rsidR="00A22601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021/ 487 </w:t>
      </w:r>
      <w:r w:rsidR="00E90805" w:rsidRPr="00A712FF">
        <w:rPr>
          <w:rFonts w:asciiTheme="minorHAnsi" w:hAnsiTheme="minorHAnsi" w:cstheme="minorHAnsi"/>
          <w:sz w:val="22"/>
          <w:szCs w:val="22"/>
          <w:lang w:val="hr-HR"/>
        </w:rPr>
        <w:t>4</w:t>
      </w:r>
      <w:r w:rsidR="00E61C30" w:rsidRPr="00A712FF">
        <w:rPr>
          <w:rFonts w:asciiTheme="minorHAnsi" w:hAnsiTheme="minorHAnsi" w:cstheme="minorHAnsi"/>
          <w:sz w:val="22"/>
          <w:szCs w:val="22"/>
          <w:lang w:val="hr-HR"/>
        </w:rPr>
        <w:t>8</w:t>
      </w:r>
      <w:r w:rsidR="00E90805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61C30" w:rsidRPr="00A712FF">
        <w:rPr>
          <w:rFonts w:asciiTheme="minorHAnsi" w:hAnsiTheme="minorHAnsi" w:cstheme="minorHAnsi"/>
          <w:sz w:val="22"/>
          <w:szCs w:val="22"/>
          <w:lang w:val="hr-HR"/>
        </w:rPr>
        <w:t>67</w:t>
      </w:r>
      <w:r w:rsidR="00E90805" w:rsidRPr="00A712FF">
        <w:rPr>
          <w:rFonts w:asciiTheme="minorHAnsi" w:hAnsiTheme="minorHAnsi" w:cstheme="minorHAnsi"/>
          <w:sz w:val="22"/>
          <w:szCs w:val="22"/>
          <w:lang w:val="hr-HR"/>
        </w:rPr>
        <w:t>, 487 41 57.</w:t>
      </w:r>
    </w:p>
    <w:p w:rsidR="00A501AC" w:rsidRPr="00A712FF" w:rsidRDefault="00A501AC" w:rsidP="00E75F7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A501AC" w:rsidP="00E75F7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BF7688" w:rsidRPr="00A712FF" w:rsidRDefault="00BF7688" w:rsidP="00E75F7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A501AC" w:rsidRPr="00A712FF" w:rsidRDefault="00E75F7B" w:rsidP="00E75F7B">
      <w:pPr>
        <w:ind w:left="5670"/>
        <w:jc w:val="center"/>
        <w:outlineLvl w:val="0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>POKRAJINSKI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712FF">
        <w:rPr>
          <w:rFonts w:asciiTheme="minorHAnsi" w:hAnsiTheme="minorHAnsi" w:cstheme="minorHAnsi"/>
          <w:sz w:val="22"/>
          <w:szCs w:val="22"/>
          <w:lang w:val="hr-HR"/>
        </w:rPr>
        <w:t>TAJNIK</w:t>
      </w:r>
    </w:p>
    <w:p w:rsidR="00A501AC" w:rsidRPr="00A712FF" w:rsidRDefault="00E75F7B" w:rsidP="00E75F7B">
      <w:pPr>
        <w:tabs>
          <w:tab w:val="center" w:pos="7200"/>
        </w:tabs>
        <w:ind w:left="567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A712FF">
        <w:rPr>
          <w:rFonts w:asciiTheme="minorHAnsi" w:hAnsiTheme="minorHAnsi" w:cstheme="minorHAnsi"/>
          <w:sz w:val="22"/>
          <w:szCs w:val="22"/>
          <w:lang w:val="hr-HR"/>
        </w:rPr>
        <w:t xml:space="preserve">Mihály </w:t>
      </w:r>
      <w:r w:rsidR="00A501AC" w:rsidRPr="00A712FF">
        <w:rPr>
          <w:rFonts w:asciiTheme="minorHAnsi" w:hAnsiTheme="minorHAnsi" w:cstheme="minorHAnsi"/>
          <w:sz w:val="22"/>
          <w:szCs w:val="22"/>
          <w:lang w:val="hr-HR"/>
        </w:rPr>
        <w:t>Nyilas</w:t>
      </w:r>
    </w:p>
    <w:sectPr w:rsidR="00A501AC" w:rsidRPr="00A712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19481E"/>
    <w:multiLevelType w:val="hybridMultilevel"/>
    <w:tmpl w:val="D1A2CAF0"/>
    <w:lvl w:ilvl="0" w:tplc="797895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2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21915"/>
    <w:rsid w:val="00142C4C"/>
    <w:rsid w:val="00154838"/>
    <w:rsid w:val="001762C0"/>
    <w:rsid w:val="00184863"/>
    <w:rsid w:val="00194DC7"/>
    <w:rsid w:val="001A5964"/>
    <w:rsid w:val="001B037A"/>
    <w:rsid w:val="001B622D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417A25"/>
    <w:rsid w:val="00444E2D"/>
    <w:rsid w:val="00484086"/>
    <w:rsid w:val="004B22E7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906D1E"/>
    <w:rsid w:val="00916FA9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712FF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DD7DB7"/>
    <w:rsid w:val="00E30DA8"/>
    <w:rsid w:val="00E316C8"/>
    <w:rsid w:val="00E61C30"/>
    <w:rsid w:val="00E75F7B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B16D-DD02-485F-89FA-24FA0E6B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2020-02-05T07:29:00Z</dcterms:created>
  <dcterms:modified xsi:type="dcterms:W3CDTF">2020-02-05T07:29:00Z</dcterms:modified>
</cp:coreProperties>
</file>