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0A0429" w:rsidTr="001E0F0E">
        <w:trPr>
          <w:trHeight w:val="1975"/>
        </w:trPr>
        <w:tc>
          <w:tcPr>
            <w:tcW w:w="2410" w:type="dxa"/>
          </w:tcPr>
          <w:p w:rsidR="00BE61DE" w:rsidRPr="000A0429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</w:rPr>
            </w:pPr>
            <w:r w:rsidRPr="000A0429">
              <w:rPr>
                <w:noProof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Pr="000A0429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</w:p>
          <w:p w:rsidR="00BE61DE" w:rsidRPr="000A0429" w:rsidRDefault="000A0429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Republika Srbija</w:t>
            </w:r>
          </w:p>
          <w:p w:rsidR="00BE61DE" w:rsidRPr="000A0429" w:rsidRDefault="000A0429" w:rsidP="006A0F02">
            <w:pPr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Autonomna Pokrajina Vojvodina</w:t>
            </w:r>
          </w:p>
          <w:p w:rsidR="00BE61DE" w:rsidRPr="000A0429" w:rsidRDefault="000A0429" w:rsidP="006A0F02">
            <w:pPr>
              <w:rPr>
                <w:rFonts w:asciiTheme="minorHAnsi" w:eastAsia="Calibr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 xml:space="preserve">Pokrajinsko tajništvo za obrazovanje, propise, </w:t>
            </w:r>
            <w:r>
              <w:rPr>
                <w:rFonts w:asciiTheme="minorHAnsi" w:hAnsiTheme="minorHAnsi"/>
                <w:b/>
                <w:sz w:val="20"/>
                <w:szCs w:val="16"/>
              </w:rPr>
              <w:br/>
              <w:t>upravu i nacionalne manjine – nacionalne zajednice</w:t>
            </w:r>
          </w:p>
          <w:p w:rsidR="00BE61DE" w:rsidRPr="000A0429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</w:p>
          <w:p w:rsidR="00BE61DE" w:rsidRPr="000A0429" w:rsidRDefault="000A0429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Bulevar Mihajla Pupina 16, 21000 Novi Sad</w:t>
            </w:r>
          </w:p>
          <w:p w:rsidR="00BE61DE" w:rsidRPr="000A0429" w:rsidRDefault="000A0429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T: +381 21 487 4608; F: +381 21 456 217</w:t>
            </w:r>
          </w:p>
          <w:p w:rsidR="00BE61DE" w:rsidRPr="000A0429" w:rsidRDefault="00C767ED" w:rsidP="00791F4B">
            <w:pPr>
              <w:spacing w:after="200"/>
              <w:rPr>
                <w:rFonts w:eastAsia="Calibri"/>
                <w:sz w:val="16"/>
                <w:szCs w:val="16"/>
              </w:rPr>
            </w:pPr>
            <w:hyperlink r:id="rId7" w:history="1">
              <w:r w:rsidR="000A0429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ounz@vojvodina.gov.rs</w:t>
              </w:r>
            </w:hyperlink>
            <w:r w:rsidR="000A0429">
              <w:rPr>
                <w:sz w:val="20"/>
                <w:szCs w:val="16"/>
              </w:rPr>
              <w:t xml:space="preserve">  </w:t>
            </w:r>
          </w:p>
        </w:tc>
      </w:tr>
      <w:tr w:rsidR="00BE61DE" w:rsidRPr="000A0429" w:rsidTr="001E0F0E">
        <w:trPr>
          <w:trHeight w:val="305"/>
        </w:trPr>
        <w:tc>
          <w:tcPr>
            <w:tcW w:w="2410" w:type="dxa"/>
          </w:tcPr>
          <w:p w:rsidR="00BE61DE" w:rsidRPr="000A0429" w:rsidRDefault="00BE61DE" w:rsidP="008B352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83" w:type="dxa"/>
          </w:tcPr>
          <w:p w:rsidR="001B481F" w:rsidRPr="000A0429" w:rsidRDefault="000A0429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KLASA: </w:t>
            </w:r>
            <w:r>
              <w:rPr>
                <w:rFonts w:ascii="Calibri" w:hAnsi="Calibri"/>
                <w:sz w:val="16"/>
                <w:szCs w:val="16"/>
              </w:rPr>
              <w:t>128-90-1096/2022-05-02</w:t>
            </w:r>
          </w:p>
        </w:tc>
        <w:tc>
          <w:tcPr>
            <w:tcW w:w="4172" w:type="dxa"/>
          </w:tcPr>
          <w:p w:rsidR="00BE61DE" w:rsidRPr="000A0429" w:rsidRDefault="000A0429" w:rsidP="000D3055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DATUM: 11.</w:t>
            </w:r>
            <w:r w:rsidR="00C767ED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6"/>
              </w:rPr>
              <w:t>10.</w:t>
            </w:r>
            <w:r w:rsidR="00C767ED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6"/>
              </w:rPr>
              <w:t>2022.</w:t>
            </w:r>
            <w:r w:rsidR="00C767ED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6"/>
              </w:rPr>
              <w:t>godine</w:t>
            </w:r>
          </w:p>
        </w:tc>
      </w:tr>
    </w:tbl>
    <w:p w:rsidR="008B3528" w:rsidRPr="000A0429" w:rsidRDefault="008B3528" w:rsidP="0099098A">
      <w:pPr>
        <w:jc w:val="both"/>
        <w:rPr>
          <w:rFonts w:asciiTheme="minorHAnsi" w:hAnsiTheme="minorHAnsi"/>
          <w:bCs/>
          <w:sz w:val="22"/>
          <w:szCs w:val="22"/>
        </w:rPr>
      </w:pPr>
    </w:p>
    <w:p w:rsidR="002036F0" w:rsidRPr="000A0429" w:rsidRDefault="000A0429" w:rsidP="00C767ED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</w:t>
      </w:r>
      <w:r w:rsidR="00C767ED">
        <w:rPr>
          <w:rFonts w:asciiTheme="minorHAnsi" w:hAnsiTheme="minorHAnsi"/>
          <w:bCs/>
          <w:sz w:val="22"/>
          <w:szCs w:val="22"/>
        </w:rPr>
        <w:t xml:space="preserve">a temelju članka 24. stavka 2. </w:t>
      </w:r>
      <w:r>
        <w:rPr>
          <w:rFonts w:asciiTheme="minorHAnsi" w:hAnsiTheme="minorHAnsi"/>
          <w:bCs/>
          <w:sz w:val="22"/>
          <w:szCs w:val="22"/>
        </w:rPr>
        <w:t>Pokrajinske skupštinske odluke o pokrajinskoj upravi („Službeni list APV“, broj: 37/2014, 54/2014 – dr.</w:t>
      </w:r>
      <w:r w:rsidR="00C767ED">
        <w:rPr>
          <w:rFonts w:asciiTheme="minorHAnsi" w:hAnsiTheme="minorHAnsi"/>
          <w:bCs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 xml:space="preserve">propis, 37/2016, 29/2017, 24/2019, 66/2020 i 38/2021) u vezi s člancima 11. i 23. stavkom 4. Pokrajinske skupštinske odluke o proračunu Autonomne Pokrajine Vojvodine za 2022. godinu („Službeni list APV“, broj: 54/2021, 7/2022 </w:t>
      </w:r>
      <w:r w:rsidR="00C767ED">
        <w:rPr>
          <w:rFonts w:asciiTheme="minorHAnsi" w:hAnsiTheme="minorHAnsi"/>
          <w:bCs/>
          <w:sz w:val="22"/>
          <w:szCs w:val="22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rebalans i 37/2022 </w:t>
      </w:r>
      <w:r w:rsidR="00C767ED">
        <w:rPr>
          <w:rFonts w:asciiTheme="minorHAnsi" w:hAnsiTheme="minorHAnsi"/>
          <w:bCs/>
          <w:sz w:val="22"/>
          <w:szCs w:val="22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rebalans), a u vezi sa Zaključkom Pokrajinske vlade klasa: 90-1079/2021 od 5. siječnja 2022. godine, i prijedloga za dodjelu nagrada po </w:t>
      </w:r>
      <w:r>
        <w:rPr>
          <w:rFonts w:asciiTheme="minorHAnsi" w:hAnsiTheme="minorHAnsi"/>
          <w:color w:val="000000"/>
          <w:sz w:val="22"/>
          <w:szCs w:val="22"/>
        </w:rPr>
        <w:t>Natječaju za izbor uratka na temu „Vojvođanska harmonija“</w:t>
      </w:r>
      <w:r w:rsidR="00C767ED">
        <w:rPr>
          <w:rFonts w:asciiTheme="minorHAnsi" w:hAnsiTheme="minorHAnsi"/>
          <w:color w:val="000000"/>
          <w:sz w:val="22"/>
          <w:szCs w:val="22"/>
        </w:rPr>
        <w:t>,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klasa: 128-90-1096/2022-05-02 </w:t>
      </w:r>
      <w:r w:rsidR="00C767ED">
        <w:rPr>
          <w:rFonts w:asciiTheme="minorHAnsi" w:hAnsiTheme="minorHAnsi"/>
          <w:bCs/>
          <w:sz w:val="22"/>
          <w:szCs w:val="22"/>
        </w:rPr>
        <w:t>od 10. listopada 2022. godine, N</w:t>
      </w:r>
      <w:r>
        <w:rPr>
          <w:rFonts w:asciiTheme="minorHAnsi" w:hAnsiTheme="minorHAnsi"/>
          <w:bCs/>
          <w:sz w:val="22"/>
          <w:szCs w:val="22"/>
        </w:rPr>
        <w:t xml:space="preserve">atječajnog povjerenstva </w:t>
      </w:r>
      <w:r>
        <w:rPr>
          <w:rFonts w:asciiTheme="minorHAnsi" w:hAnsiTheme="minorHAnsi"/>
          <w:color w:val="000000"/>
          <w:sz w:val="22"/>
          <w:szCs w:val="22"/>
        </w:rPr>
        <w:t>za razmatranje, vrednovanje i ocjenjivanje prijava</w:t>
      </w:r>
      <w:r>
        <w:rPr>
          <w:rFonts w:asciiTheme="minorHAnsi" w:hAnsiTheme="minorHAnsi"/>
          <w:bCs/>
          <w:sz w:val="22"/>
          <w:szCs w:val="22"/>
        </w:rPr>
        <w:t xml:space="preserve"> na temelju </w:t>
      </w:r>
      <w:r>
        <w:rPr>
          <w:rFonts w:asciiTheme="minorHAnsi" w:hAnsiTheme="minorHAnsi"/>
          <w:color w:val="000000"/>
          <w:sz w:val="22"/>
          <w:szCs w:val="22"/>
        </w:rPr>
        <w:t>Natječaja za izbor uratka na temu „Vojvođanska harmonija“</w:t>
      </w:r>
      <w:r>
        <w:rPr>
          <w:rFonts w:asciiTheme="minorHAnsi" w:hAnsiTheme="minorHAnsi"/>
          <w:bCs/>
          <w:sz w:val="22"/>
          <w:szCs w:val="22"/>
        </w:rPr>
        <w:t>, pokrajinski tajnik za obrazovanje, propise, upravu i nacionalne manjine – nacionalne zajednice, donosi</w:t>
      </w:r>
    </w:p>
    <w:p w:rsidR="007D6CF8" w:rsidRPr="000A0429" w:rsidRDefault="007D6CF8" w:rsidP="002B5C59">
      <w:pPr>
        <w:ind w:firstLine="708"/>
        <w:jc w:val="both"/>
        <w:rPr>
          <w:rFonts w:asciiTheme="minorHAnsi" w:hAnsiTheme="minorHAnsi"/>
          <w:sz w:val="20"/>
          <w:szCs w:val="20"/>
        </w:rPr>
      </w:pPr>
    </w:p>
    <w:p w:rsidR="0056396F" w:rsidRPr="000A0429" w:rsidRDefault="000A0429" w:rsidP="0056396F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RJEŠENJE</w:t>
      </w:r>
    </w:p>
    <w:p w:rsidR="00FD7814" w:rsidRPr="000A0429" w:rsidRDefault="000A0429" w:rsidP="00FD781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 DODJELI NAGRADA PO NATJEČAJU ZA IZBOR URATKA NA TEMU</w:t>
      </w:r>
    </w:p>
    <w:p w:rsidR="00517438" w:rsidRPr="000A0429" w:rsidRDefault="00FD7814" w:rsidP="00FD781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„VOJVOĐANSKA HARMONIJA”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170FB1" w:rsidRPr="000A0429" w:rsidRDefault="00170FB1" w:rsidP="00517438">
      <w:pPr>
        <w:jc w:val="center"/>
        <w:rPr>
          <w:rFonts w:asciiTheme="minorHAnsi" w:hAnsiTheme="minorHAnsi"/>
          <w:sz w:val="20"/>
          <w:szCs w:val="20"/>
        </w:rPr>
      </w:pPr>
    </w:p>
    <w:p w:rsidR="00E62E02" w:rsidRPr="000A0429" w:rsidRDefault="00F23D64" w:rsidP="0056396F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2036F0" w:rsidRPr="000A0429" w:rsidRDefault="002036F0" w:rsidP="0056396F">
      <w:pPr>
        <w:jc w:val="center"/>
        <w:rPr>
          <w:rFonts w:asciiTheme="minorHAnsi" w:hAnsiTheme="minorHAnsi"/>
          <w:sz w:val="16"/>
          <w:szCs w:val="20"/>
        </w:rPr>
      </w:pPr>
    </w:p>
    <w:p w:rsidR="00E0051A" w:rsidRPr="000A0429" w:rsidRDefault="000A0429" w:rsidP="00517438">
      <w:pPr>
        <w:ind w:right="-46" w:firstLine="5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 temelju Natječaja </w:t>
      </w:r>
      <w:r>
        <w:rPr>
          <w:rFonts w:asciiTheme="minorHAnsi" w:hAnsiTheme="minorHAnsi"/>
          <w:color w:val="000000"/>
          <w:sz w:val="22"/>
          <w:szCs w:val="22"/>
        </w:rPr>
        <w:t>za izbor uratka na temu „Vojvođanska harmonija“</w:t>
      </w:r>
      <w:r>
        <w:rPr>
          <w:rFonts w:asciiTheme="minorHAnsi" w:hAnsiTheme="minorHAnsi"/>
          <w:bCs/>
          <w:sz w:val="22"/>
          <w:szCs w:val="22"/>
        </w:rPr>
        <w:t>, raspisanog dana 22. 9. 2022. godine pod klasom: 128-90-1096/2022-05, koji je objavljen u „Službenom listu AP Vojvodine“</w:t>
      </w:r>
      <w:r w:rsidR="00C767ED">
        <w:rPr>
          <w:rFonts w:asciiTheme="minorHAnsi" w:hAnsiTheme="minorHAnsi"/>
          <w:bCs/>
          <w:sz w:val="22"/>
          <w:szCs w:val="22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broj: 41/2022, dana 28. 9. 2022. godine, nagrađuju se sljedeći podnositelji prijave:</w:t>
      </w:r>
    </w:p>
    <w:p w:rsidR="001B481F" w:rsidRPr="000A0429" w:rsidRDefault="001B481F" w:rsidP="00517438">
      <w:pPr>
        <w:ind w:right="-46" w:firstLine="540"/>
        <w:jc w:val="both"/>
        <w:rPr>
          <w:rFonts w:asciiTheme="minorHAnsi" w:hAnsiTheme="minorHAnsi" w:cs="Arial"/>
          <w:bCs/>
          <w:sz w:val="22"/>
          <w:szCs w:val="22"/>
        </w:rPr>
      </w:pP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3605"/>
        <w:gridCol w:w="1370"/>
        <w:gridCol w:w="2972"/>
      </w:tblGrid>
      <w:tr w:rsidR="00832833" w:rsidRPr="000A0429" w:rsidTr="00C767ED">
        <w:trPr>
          <w:trHeight w:val="390"/>
        </w:trPr>
        <w:tc>
          <w:tcPr>
            <w:tcW w:w="1262" w:type="dxa"/>
            <w:shd w:val="clear" w:color="auto" w:fill="FBE4D5"/>
            <w:vAlign w:val="center"/>
          </w:tcPr>
          <w:p w:rsidR="00832833" w:rsidRPr="000A0429" w:rsidRDefault="000A0429" w:rsidP="00875B71">
            <w:pPr>
              <w:pStyle w:val="BodyTextIndent"/>
              <w:spacing w:after="0"/>
              <w:ind w:left="0"/>
              <w:jc w:val="left"/>
              <w:rPr>
                <w:rFonts w:cs="Arial"/>
                <w:b/>
                <w:noProof w:val="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Rangiranja</w:t>
            </w:r>
          </w:p>
        </w:tc>
        <w:tc>
          <w:tcPr>
            <w:tcW w:w="3605" w:type="dxa"/>
            <w:shd w:val="clear" w:color="auto" w:fill="FBE4D5"/>
            <w:vAlign w:val="center"/>
          </w:tcPr>
          <w:p w:rsidR="00832833" w:rsidRPr="000A0429" w:rsidRDefault="000A0429" w:rsidP="00470B47">
            <w:pPr>
              <w:pStyle w:val="BodyTextIndent"/>
              <w:spacing w:after="0"/>
              <w:ind w:left="0"/>
              <w:jc w:val="center"/>
              <w:rPr>
                <w:rFonts w:cs="Arial"/>
                <w:b/>
                <w:noProof w:val="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Škola</w:t>
            </w:r>
          </w:p>
        </w:tc>
        <w:tc>
          <w:tcPr>
            <w:tcW w:w="1370" w:type="dxa"/>
            <w:shd w:val="clear" w:color="auto" w:fill="FBE4D5"/>
            <w:vAlign w:val="center"/>
          </w:tcPr>
          <w:p w:rsidR="00832833" w:rsidRPr="000A0429" w:rsidRDefault="000A0429" w:rsidP="00470B47">
            <w:pPr>
              <w:pStyle w:val="BodyTextIndent"/>
              <w:spacing w:after="0"/>
              <w:ind w:left="0"/>
              <w:jc w:val="center"/>
              <w:rPr>
                <w:rFonts w:cs="Arial"/>
                <w:b/>
                <w:noProof w:val="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Mjesto</w:t>
            </w:r>
          </w:p>
        </w:tc>
        <w:tc>
          <w:tcPr>
            <w:tcW w:w="2972" w:type="dxa"/>
            <w:shd w:val="clear" w:color="auto" w:fill="FBE4D5"/>
            <w:vAlign w:val="center"/>
          </w:tcPr>
          <w:p w:rsidR="00832833" w:rsidRPr="000A0429" w:rsidRDefault="000A0429" w:rsidP="00470B47">
            <w:pPr>
              <w:pStyle w:val="BodyTextIndent"/>
              <w:spacing w:after="0"/>
              <w:ind w:left="0"/>
              <w:jc w:val="center"/>
              <w:rPr>
                <w:rFonts w:cs="Arial"/>
                <w:b/>
                <w:noProof w:val="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Nagrada</w:t>
            </w:r>
          </w:p>
        </w:tc>
      </w:tr>
      <w:tr w:rsidR="000D3055" w:rsidRPr="000A0429" w:rsidTr="00C767ED">
        <w:trPr>
          <w:trHeight w:val="964"/>
        </w:trPr>
        <w:tc>
          <w:tcPr>
            <w:tcW w:w="1262" w:type="dxa"/>
            <w:shd w:val="clear" w:color="auto" w:fill="auto"/>
            <w:vAlign w:val="center"/>
          </w:tcPr>
          <w:p w:rsidR="000D3055" w:rsidRPr="000A0429" w:rsidRDefault="000D3055" w:rsidP="000D3055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1. mjesto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0D3055" w:rsidRPr="000A0429" w:rsidRDefault="000A0429" w:rsidP="000D3055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b/>
                <w:noProof w:val="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Biskupska klasična gimnazija „Paulinum“</w:t>
            </w:r>
          </w:p>
        </w:tc>
        <w:tc>
          <w:tcPr>
            <w:tcW w:w="1370" w:type="dxa"/>
            <w:vAlign w:val="center"/>
          </w:tcPr>
          <w:p w:rsidR="000D3055" w:rsidRPr="000A0429" w:rsidRDefault="000A0429" w:rsidP="000D3055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noProof w:val="0"/>
                <w:szCs w:val="22"/>
              </w:rPr>
            </w:pPr>
            <w:r>
              <w:rPr>
                <w:rFonts w:ascii="Calibri" w:hAnsi="Calibri"/>
                <w:szCs w:val="22"/>
              </w:rPr>
              <w:t>Subotica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0D3055" w:rsidRPr="000A0429" w:rsidRDefault="000A0429" w:rsidP="000D3055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noProof w:val="0"/>
                <w:szCs w:val="22"/>
              </w:rPr>
            </w:pPr>
            <w:r>
              <w:rPr>
                <w:rFonts w:ascii="Calibri" w:hAnsi="Calibri"/>
                <w:szCs w:val="22"/>
              </w:rPr>
              <w:t>Edukativno putovanje, Republika Italija</w:t>
            </w:r>
          </w:p>
        </w:tc>
      </w:tr>
      <w:tr w:rsidR="000D3055" w:rsidRPr="000A0429" w:rsidTr="00C767ED">
        <w:trPr>
          <w:trHeight w:val="1366"/>
        </w:trPr>
        <w:tc>
          <w:tcPr>
            <w:tcW w:w="1262" w:type="dxa"/>
            <w:shd w:val="clear" w:color="auto" w:fill="auto"/>
            <w:vAlign w:val="center"/>
          </w:tcPr>
          <w:p w:rsidR="000D3055" w:rsidRPr="000A0429" w:rsidRDefault="000D3055" w:rsidP="000D3055">
            <w:pPr>
              <w:pStyle w:val="BodyTextIndent"/>
              <w:spacing w:after="0"/>
              <w:ind w:left="0"/>
              <w:jc w:val="left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2. mjesto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0D3055" w:rsidRPr="000A0429" w:rsidRDefault="000A0429" w:rsidP="000D3055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b/>
                <w:noProof w:val="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Osnovna škola „Bratstvo jedinstvo“</w:t>
            </w:r>
          </w:p>
        </w:tc>
        <w:tc>
          <w:tcPr>
            <w:tcW w:w="1370" w:type="dxa"/>
            <w:vAlign w:val="center"/>
          </w:tcPr>
          <w:p w:rsidR="000D3055" w:rsidRPr="000A0429" w:rsidRDefault="000A0429" w:rsidP="000D3055">
            <w:pPr>
              <w:pStyle w:val="BodyTextIndent"/>
              <w:spacing w:after="0"/>
              <w:ind w:left="0"/>
              <w:jc w:val="left"/>
              <w:rPr>
                <w:rFonts w:ascii="Calibri" w:hAnsi="Calibri" w:cs="Calibri"/>
                <w:noProof w:val="0"/>
                <w:szCs w:val="22"/>
              </w:rPr>
            </w:pPr>
            <w:r>
              <w:rPr>
                <w:rFonts w:ascii="Calibri" w:hAnsi="Calibri"/>
                <w:szCs w:val="22"/>
              </w:rPr>
              <w:t>Belo Blato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0D3055" w:rsidRPr="000A0429" w:rsidRDefault="000A0429" w:rsidP="00C767ED">
            <w:pPr>
              <w:pStyle w:val="BodyTextIndent"/>
              <w:spacing w:after="0"/>
              <w:ind w:left="-55" w:firstLine="9"/>
              <w:jc w:val="left"/>
              <w:rPr>
                <w:rFonts w:ascii="Calibri" w:hAnsi="Calibri" w:cs="Calibri"/>
                <w:noProof w:val="0"/>
                <w:szCs w:val="22"/>
              </w:rPr>
            </w:pPr>
            <w:r>
              <w:rPr>
                <w:rFonts w:ascii="Calibri" w:hAnsi="Calibri"/>
                <w:szCs w:val="22"/>
              </w:rPr>
              <w:t>Ekskurzija, Specijalni rezervat prirode „Obedska bara“</w:t>
            </w:r>
          </w:p>
        </w:tc>
      </w:tr>
    </w:tbl>
    <w:p w:rsidR="00791F4B" w:rsidRPr="000A0429" w:rsidRDefault="00791F4B" w:rsidP="002B5C59">
      <w:pPr>
        <w:rPr>
          <w:rFonts w:asciiTheme="minorHAnsi" w:hAnsiTheme="minorHAnsi"/>
          <w:b/>
          <w:sz w:val="20"/>
          <w:szCs w:val="20"/>
        </w:rPr>
      </w:pPr>
    </w:p>
    <w:p w:rsidR="00875B71" w:rsidRPr="000A0429" w:rsidRDefault="00875B71" w:rsidP="002B5C59">
      <w:pPr>
        <w:rPr>
          <w:rFonts w:asciiTheme="minorHAnsi" w:hAnsiTheme="minorHAnsi"/>
          <w:b/>
          <w:sz w:val="20"/>
          <w:szCs w:val="20"/>
        </w:rPr>
      </w:pPr>
    </w:p>
    <w:p w:rsidR="005175D5" w:rsidRPr="000A0429" w:rsidRDefault="00F23D64" w:rsidP="0056396F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1B481F" w:rsidRPr="000A0429" w:rsidRDefault="001B481F" w:rsidP="0056396F">
      <w:pPr>
        <w:jc w:val="center"/>
        <w:rPr>
          <w:rFonts w:asciiTheme="minorHAnsi" w:hAnsiTheme="minorHAnsi"/>
          <w:b/>
          <w:sz w:val="20"/>
          <w:szCs w:val="20"/>
        </w:rPr>
      </w:pPr>
    </w:p>
    <w:p w:rsidR="002036F0" w:rsidRDefault="000A0429" w:rsidP="00791F4B">
      <w:pPr>
        <w:spacing w:after="240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o izboru nagrađenih uradaka objavljuje se na službenoj mrežnoj stranici Pokrajinskog tajništva.</w:t>
      </w:r>
    </w:p>
    <w:p w:rsidR="00C767ED" w:rsidRDefault="00C767ED" w:rsidP="00791F4B">
      <w:pPr>
        <w:spacing w:after="240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C767ED" w:rsidRPr="000A0429" w:rsidRDefault="00C767ED" w:rsidP="00791F4B">
      <w:pPr>
        <w:spacing w:after="240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6396F" w:rsidRPr="000A0429" w:rsidRDefault="000A0429" w:rsidP="0056396F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Obrazloženje</w:t>
      </w:r>
    </w:p>
    <w:p w:rsidR="001B481F" w:rsidRPr="000A0429" w:rsidRDefault="001B481F" w:rsidP="0056396F">
      <w:pPr>
        <w:jc w:val="center"/>
        <w:rPr>
          <w:rFonts w:asciiTheme="minorHAnsi" w:hAnsiTheme="minorHAnsi"/>
          <w:sz w:val="22"/>
          <w:szCs w:val="22"/>
        </w:rPr>
      </w:pPr>
    </w:p>
    <w:p w:rsidR="003C629D" w:rsidRPr="000A0429" w:rsidRDefault="000A0429" w:rsidP="00466F11">
      <w:pPr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članka 24. stavka 2.  Pokrajinske skupštinske odluke o pokrajinskoj upravi („Službeni list APV“, broj: 37/2014, 54/2014 – dr.</w:t>
      </w:r>
      <w:r w:rsidR="00C767ED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propis, 37/2016, 29/2017, 24/2019, 66/2020 i 38/2021) u vezi s člancima 11. i 23. stavkom 4. Pokrajinske skupštinske odluke o proračunu Autonomne Pokrajine Vojvodine za 2022. godinu („Službeni list APV“, broj: 54/2021, 7/2022 </w:t>
      </w:r>
      <w:r w:rsidR="00C767ED">
        <w:rPr>
          <w:rFonts w:asciiTheme="minorHAnsi" w:hAnsiTheme="minorHAnsi"/>
          <w:bCs/>
          <w:sz w:val="22"/>
          <w:szCs w:val="22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rebalans i 37/2022 </w:t>
      </w:r>
      <w:r w:rsidR="00C767ED">
        <w:rPr>
          <w:rFonts w:asciiTheme="minorHAnsi" w:hAnsiTheme="minorHAnsi"/>
          <w:bCs/>
          <w:sz w:val="22"/>
          <w:szCs w:val="22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rebalans), a u vezi sa Zaključkom Pokrajinske vlade</w:t>
      </w:r>
      <w:r w:rsidR="00C767ED">
        <w:rPr>
          <w:rFonts w:asciiTheme="minorHAnsi" w:hAnsiTheme="minorHAnsi"/>
          <w:bCs/>
          <w:sz w:val="22"/>
          <w:szCs w:val="22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klasa: 90-1079/2021 od 5. siječnja 2022. godine, Pokrajinsko tajništvo za obrazovanje, propise, upravu i nacionalne manjine – nacionalne zajednice je dana 22. 9. 2022. godine raspisalo Natječaj </w:t>
      </w:r>
      <w:r>
        <w:rPr>
          <w:rFonts w:asciiTheme="minorHAnsi" w:hAnsiTheme="minorHAnsi"/>
          <w:color w:val="000000"/>
          <w:sz w:val="22"/>
          <w:szCs w:val="22"/>
        </w:rPr>
        <w:t>za izbor uratka na temu „Vojvođanska harmonija"</w:t>
      </w:r>
      <w:r>
        <w:rPr>
          <w:rFonts w:asciiTheme="minorHAnsi" w:hAnsiTheme="minorHAnsi"/>
          <w:bCs/>
          <w:sz w:val="22"/>
          <w:szCs w:val="22"/>
        </w:rPr>
        <w:t>, pod klasom: 128-90-1096/2022-05.</w:t>
      </w:r>
    </w:p>
    <w:p w:rsidR="00890DF0" w:rsidRPr="000A0429" w:rsidRDefault="00890DF0" w:rsidP="00466F11">
      <w:pPr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</w:p>
    <w:p w:rsidR="00ED7D0E" w:rsidRPr="000A0429" w:rsidRDefault="000A0429" w:rsidP="00ED7D0E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Člankom 24. stavkom 2. Pokrajinske skupštinske odluke o pokrajinskoj upravi („Sl. list APV“, broj:</w:t>
      </w:r>
      <w:r>
        <w:rPr>
          <w:rFonts w:asciiTheme="minorHAnsi" w:hAnsiTheme="minorHAnsi"/>
          <w:bCs/>
          <w:sz w:val="22"/>
          <w:szCs w:val="22"/>
        </w:rPr>
        <w:t xml:space="preserve"> 37/2014, 54/2014 – dr.</w:t>
      </w:r>
      <w:r w:rsidR="00C767ED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propis, 37/2016, 29/2017, 24/2019, 66/2020 i 38/2021)</w:t>
      </w:r>
      <w:r>
        <w:rPr>
          <w:rFonts w:asciiTheme="minorHAnsi" w:hAnsiTheme="minorHAnsi"/>
          <w:sz w:val="22"/>
          <w:szCs w:val="22"/>
        </w:rPr>
        <w:t xml:space="preserve"> pokrajinski tajnik predstavlja pokrajinsko tajništvo, organizira i osigurava obavljanje poslova na učinkovit način, donosi akta za koja je ovlašten, formira povjerenstva i radne skupine ra</w:t>
      </w:r>
      <w:r w:rsidR="00C767ED">
        <w:rPr>
          <w:rFonts w:asciiTheme="minorHAnsi" w:hAnsiTheme="minorHAnsi"/>
          <w:sz w:val="22"/>
          <w:szCs w:val="22"/>
        </w:rPr>
        <w:t>di obavljanja složenijih poslova</w:t>
      </w:r>
      <w:r>
        <w:rPr>
          <w:rFonts w:asciiTheme="minorHAnsi" w:hAnsiTheme="minorHAnsi"/>
          <w:sz w:val="22"/>
          <w:szCs w:val="22"/>
        </w:rPr>
        <w:t xml:space="preserve"> iz djelokruga tajništva i odlučuje o pravima, dužnostima i odgovornostima zaposlenika. </w:t>
      </w:r>
    </w:p>
    <w:p w:rsidR="00890DF0" w:rsidRPr="000A0429" w:rsidRDefault="00890DF0" w:rsidP="000B7853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</w:p>
    <w:p w:rsidR="008D1BF1" w:rsidRPr="000A0429" w:rsidRDefault="000A0429" w:rsidP="000B7853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Natječajno povjerenstvo za razmatranje, vrednovanje i ocjenjivanje podnesenih prijava na Natječaj za izbor uratka na temu „Vojvođanska harmonija“, utemeljeno je rješenjem klasa: 128-90-1096/2022-05-01 od 7. 10. 2022. godine. Povjerenstvo je zasjedalo 10. 10. 2022. godine te je, nakon razmatranja i vrednovanja prijava na navedenom natječaju, utvrdilo listu vrednovanja, bodovanja i rangiranja prijavljenih uradaka i uputilo prijedlog pokrajinskom tajniku za donošenje konačnog rješenja o izboru nagrađenog uratka po Natječaju </w:t>
      </w:r>
      <w:r>
        <w:rPr>
          <w:rFonts w:asciiTheme="minorHAnsi" w:hAnsiTheme="minorHAnsi"/>
          <w:color w:val="000000"/>
          <w:sz w:val="22"/>
          <w:szCs w:val="22"/>
        </w:rPr>
        <w:t>za izbor uratka na temu „Vojvođanska harmonija“.</w:t>
      </w:r>
    </w:p>
    <w:p w:rsidR="00890DF0" w:rsidRPr="000A0429" w:rsidRDefault="00890DF0" w:rsidP="000B7853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6396F" w:rsidRPr="000A0429" w:rsidRDefault="000A0429" w:rsidP="000B7853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Sukladno navedenome, </w:t>
      </w:r>
      <w:r>
        <w:rPr>
          <w:rFonts w:asciiTheme="minorHAnsi" w:hAnsiTheme="minorHAnsi"/>
          <w:bCs/>
          <w:sz w:val="22"/>
          <w:szCs w:val="22"/>
        </w:rPr>
        <w:t>pokrajinski tajnik za obrazovanje, propise, upravu i nacionalne manjine – nacionalne zajednice je</w:t>
      </w:r>
      <w:r>
        <w:rPr>
          <w:rFonts w:asciiTheme="minorHAnsi" w:hAnsiTheme="minorHAnsi"/>
          <w:sz w:val="22"/>
          <w:szCs w:val="22"/>
        </w:rPr>
        <w:t xml:space="preserve"> prihvatio prijedlog </w:t>
      </w:r>
      <w:r>
        <w:rPr>
          <w:rFonts w:asciiTheme="minorHAnsi" w:hAnsiTheme="minorHAnsi"/>
          <w:bCs/>
          <w:sz w:val="22"/>
          <w:szCs w:val="22"/>
        </w:rPr>
        <w:t>Natječajnog povjerenstva za razmatranje, vrednovanje i ocjenjivanje podnesenih prijava na Natječaj za izbor uratka na temu „Vojvođanska harmonija“, i</w:t>
      </w:r>
      <w:r>
        <w:rPr>
          <w:rFonts w:asciiTheme="minorHAnsi" w:hAnsiTheme="minorHAnsi"/>
          <w:sz w:val="22"/>
          <w:szCs w:val="22"/>
        </w:rPr>
        <w:t xml:space="preserve"> donio je rješenje kao u izreci.</w:t>
      </w:r>
    </w:p>
    <w:p w:rsidR="00F36FE4" w:rsidRPr="000A0429" w:rsidRDefault="00F36FE4" w:rsidP="000B7853">
      <w:pPr>
        <w:ind w:firstLine="708"/>
        <w:jc w:val="both"/>
        <w:rPr>
          <w:rFonts w:asciiTheme="minorHAnsi" w:hAnsiTheme="minorHAnsi"/>
          <w:bCs/>
          <w:sz w:val="22"/>
          <w:szCs w:val="22"/>
        </w:rPr>
      </w:pPr>
    </w:p>
    <w:p w:rsidR="004C487B" w:rsidRPr="000A0429" w:rsidRDefault="000A0429" w:rsidP="004C487B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je konačno.</w:t>
      </w:r>
    </w:p>
    <w:p w:rsidR="0056396F" w:rsidRPr="000A0429" w:rsidRDefault="0056396F" w:rsidP="00AD36DB">
      <w:pPr>
        <w:tabs>
          <w:tab w:val="left" w:pos="3960"/>
        </w:tabs>
        <w:jc w:val="both"/>
        <w:rPr>
          <w:rFonts w:asciiTheme="minorHAnsi" w:hAnsiTheme="minorHAnsi"/>
          <w:sz w:val="22"/>
          <w:szCs w:val="22"/>
        </w:rPr>
      </w:pPr>
    </w:p>
    <w:p w:rsidR="00D0326D" w:rsidRPr="000A0429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Pokrajinski tajnik</w:t>
      </w:r>
    </w:p>
    <w:p w:rsidR="00D0326D" w:rsidRPr="000A0429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</w:p>
    <w:p w:rsidR="00D0326D" w:rsidRPr="000A0429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</w:p>
    <w:p w:rsidR="00CC18F7" w:rsidRPr="000A0429" w:rsidRDefault="00D0326D" w:rsidP="00CC18F7">
      <w:pPr>
        <w:tabs>
          <w:tab w:val="center" w:pos="7088"/>
        </w:tabs>
        <w:jc w:val="both"/>
        <w:rPr>
          <w:rFonts w:ascii="Calibri" w:hAnsi="Calibri"/>
          <w:bCs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Zsolt Szakállas, v.r.</w:t>
      </w:r>
    </w:p>
    <w:p w:rsidR="00CC18F7" w:rsidRPr="000A0429" w:rsidRDefault="00CC18F7" w:rsidP="00CC18F7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bCs/>
          <w:sz w:val="22"/>
          <w:szCs w:val="20"/>
        </w:rPr>
        <w:tab/>
      </w:r>
    </w:p>
    <w:p w:rsidR="00F870FF" w:rsidRPr="000A0429" w:rsidRDefault="00F870FF" w:rsidP="00CC18F7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</w:p>
    <w:sectPr w:rsidR="00F870FF" w:rsidRPr="000A0429" w:rsidSect="00C767E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A0429"/>
    <w:rsid w:val="000B43F0"/>
    <w:rsid w:val="000B7853"/>
    <w:rsid w:val="000C31BF"/>
    <w:rsid w:val="000D1A62"/>
    <w:rsid w:val="000D3055"/>
    <w:rsid w:val="000E08B8"/>
    <w:rsid w:val="000F0FCA"/>
    <w:rsid w:val="000F64E9"/>
    <w:rsid w:val="000F6E2B"/>
    <w:rsid w:val="00100204"/>
    <w:rsid w:val="0010789A"/>
    <w:rsid w:val="00111510"/>
    <w:rsid w:val="00170FB1"/>
    <w:rsid w:val="00171206"/>
    <w:rsid w:val="001B481F"/>
    <w:rsid w:val="001C08B6"/>
    <w:rsid w:val="001C10E4"/>
    <w:rsid w:val="001E0F0E"/>
    <w:rsid w:val="001E2518"/>
    <w:rsid w:val="001F3988"/>
    <w:rsid w:val="002036F0"/>
    <w:rsid w:val="002272CD"/>
    <w:rsid w:val="00235B52"/>
    <w:rsid w:val="00236E33"/>
    <w:rsid w:val="002621B8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0B47"/>
    <w:rsid w:val="00473029"/>
    <w:rsid w:val="00483268"/>
    <w:rsid w:val="004C2E93"/>
    <w:rsid w:val="004C487B"/>
    <w:rsid w:val="004F200D"/>
    <w:rsid w:val="00502103"/>
    <w:rsid w:val="00517438"/>
    <w:rsid w:val="005175D5"/>
    <w:rsid w:val="0053255A"/>
    <w:rsid w:val="0054148B"/>
    <w:rsid w:val="00543D7B"/>
    <w:rsid w:val="0054484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378D5"/>
    <w:rsid w:val="006405F9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14F58"/>
    <w:rsid w:val="00832833"/>
    <w:rsid w:val="00853ADD"/>
    <w:rsid w:val="0085745D"/>
    <w:rsid w:val="008627DA"/>
    <w:rsid w:val="00866195"/>
    <w:rsid w:val="00875B71"/>
    <w:rsid w:val="0088361D"/>
    <w:rsid w:val="00890DF0"/>
    <w:rsid w:val="008B3528"/>
    <w:rsid w:val="008C424C"/>
    <w:rsid w:val="008C6BA4"/>
    <w:rsid w:val="008D1BF1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90116"/>
    <w:rsid w:val="00AA4F65"/>
    <w:rsid w:val="00AC6349"/>
    <w:rsid w:val="00AC76CC"/>
    <w:rsid w:val="00AD36DB"/>
    <w:rsid w:val="00B04691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3606B"/>
    <w:rsid w:val="00C42F6B"/>
    <w:rsid w:val="00C44C8F"/>
    <w:rsid w:val="00C51D82"/>
    <w:rsid w:val="00C767ED"/>
    <w:rsid w:val="00C87B97"/>
    <w:rsid w:val="00CA37A0"/>
    <w:rsid w:val="00CC18F7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E0051A"/>
    <w:rsid w:val="00E11C89"/>
    <w:rsid w:val="00E62E02"/>
    <w:rsid w:val="00ED385D"/>
    <w:rsid w:val="00ED7D0E"/>
    <w:rsid w:val="00F062D9"/>
    <w:rsid w:val="00F23D64"/>
    <w:rsid w:val="00F36FE4"/>
    <w:rsid w:val="00F64F96"/>
    <w:rsid w:val="00F75D16"/>
    <w:rsid w:val="00F870FF"/>
    <w:rsid w:val="00FA62E5"/>
    <w:rsid w:val="00FD7814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r-HR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8186-8CE5-43F2-B76E-771C495C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Hrvoje Kenjerić</cp:lastModifiedBy>
  <cp:revision>13</cp:revision>
  <cp:lastPrinted>2022-10-07T11:08:00Z</cp:lastPrinted>
  <dcterms:created xsi:type="dcterms:W3CDTF">2022-10-07T06:32:00Z</dcterms:created>
  <dcterms:modified xsi:type="dcterms:W3CDTF">2022-10-11T06:46:00Z</dcterms:modified>
</cp:coreProperties>
</file>