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w:t>
            </w:r>
            <w:r>
              <w:rPr>
                <w:rFonts w:asciiTheme="minorHAnsi" w:hAnsiTheme="minorHAnsi"/>
                <w:b/>
                <w:sz w:val="20"/>
                <w:szCs w:val="16"/>
              </w:rPr>
              <w:br/>
              <w:t>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4608; F +381 21 456 217</w:t>
            </w:r>
          </w:p>
          <w:p w:rsidR="00BE61DE" w:rsidRPr="006D4672" w:rsidRDefault="009D6D4F" w:rsidP="00791F4B">
            <w:pPr>
              <w:spacing w:after="200"/>
              <w:rPr>
                <w:rFonts w:eastAsia="Calibri"/>
                <w:noProof/>
                <w:sz w:val="16"/>
                <w:szCs w:val="16"/>
              </w:rPr>
            </w:pPr>
            <w:hyperlink r:id="rId7" w:history="1">
              <w:r w:rsidR="00CC18F7">
                <w:rPr>
                  <w:rStyle w:val="Hyperlink"/>
                  <w:rFonts w:asciiTheme="minorHAnsi" w:hAnsiTheme="minorHAnsi"/>
                  <w:color w:val="auto"/>
                  <w:sz w:val="20"/>
                  <w:szCs w:val="16"/>
                </w:rPr>
                <w:t>ounz@vojvodina.gov.s</w:t>
              </w:r>
            </w:hyperlink>
            <w:r w:rsidR="00CC18F7">
              <w:rPr>
                <w:sz w:val="20"/>
                <w:szCs w:val="16"/>
              </w:rPr>
              <w:t xml:space="preserve">  </w:t>
            </w:r>
          </w:p>
        </w:tc>
      </w:tr>
      <w:tr w:rsidR="00BE61DE" w:rsidRPr="006D4672" w:rsidTr="001E0F0E">
        <w:trPr>
          <w:trHeight w:val="305"/>
        </w:trPr>
        <w:tc>
          <w:tcPr>
            <w:tcW w:w="2410" w:type="dxa"/>
          </w:tcPr>
          <w:p w:rsidR="00BE61DE" w:rsidRPr="008B3528" w:rsidRDefault="00BE61DE" w:rsidP="008B3528">
            <w:pPr>
              <w:rPr>
                <w:rFonts w:eastAsia="Calibri"/>
                <w:sz w:val="16"/>
                <w:szCs w:val="16"/>
                <w:lang w:val="sr-Cyrl-CS"/>
              </w:rPr>
            </w:pPr>
          </w:p>
        </w:tc>
        <w:tc>
          <w:tcPr>
            <w:tcW w:w="3483" w:type="dxa"/>
          </w:tcPr>
          <w:p w:rsidR="001B481F" w:rsidRPr="008B3528"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 xml:space="preserve">NUMĂRUL: </w:t>
            </w:r>
            <w:r>
              <w:rPr>
                <w:rFonts w:ascii="Calibri" w:hAnsi="Calibri"/>
                <w:sz w:val="16"/>
                <w:szCs w:val="16"/>
              </w:rPr>
              <w:t>128-90-1096/02.05.2022</w:t>
            </w:r>
          </w:p>
        </w:tc>
        <w:tc>
          <w:tcPr>
            <w:tcW w:w="4172" w:type="dxa"/>
          </w:tcPr>
          <w:p w:rsidR="00BE61DE" w:rsidRPr="001B481F" w:rsidRDefault="00F23D64" w:rsidP="000D3055">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11.10.2022.године</w:t>
            </w:r>
          </w:p>
        </w:tc>
      </w:tr>
    </w:tbl>
    <w:p w:rsidR="008B3528" w:rsidRDefault="008B3528" w:rsidP="0099098A">
      <w:pPr>
        <w:jc w:val="both"/>
        <w:rPr>
          <w:rFonts w:asciiTheme="minorHAnsi" w:hAnsiTheme="minorHAnsi"/>
          <w:bCs/>
          <w:noProof/>
          <w:sz w:val="22"/>
          <w:szCs w:val="22"/>
          <w:lang w:val="sr-Cyrl-CS"/>
        </w:rPr>
      </w:pPr>
    </w:p>
    <w:p w:rsidR="002036F0" w:rsidRPr="006D4672" w:rsidRDefault="00832833" w:rsidP="0099098A">
      <w:pPr>
        <w:jc w:val="both"/>
        <w:rPr>
          <w:rFonts w:asciiTheme="minorHAnsi" w:hAnsiTheme="minorHAnsi"/>
          <w:bCs/>
          <w:noProof/>
          <w:sz w:val="22"/>
          <w:szCs w:val="22"/>
        </w:rPr>
      </w:pPr>
      <w:r>
        <w:rPr>
          <w:rFonts w:asciiTheme="minorHAnsi" w:hAnsiTheme="minorHAnsi"/>
          <w:bCs/>
          <w:sz w:val="22"/>
          <w:szCs w:val="22"/>
        </w:rPr>
        <w:t xml:space="preserve">În baza articolului 24 alineatul 2  din Hotărârea Adunării Provinciei privind administrația provincială („Buletinul oficial al P.A.V.", numărul 37/2014, 54/2014 – altă reglementare, 37/2016, 29/2017, 24/2019, 66/2020 și 38/2021), raportat la articolul 11 şi 23 alineatul 4 </w:t>
      </w:r>
      <w:r>
        <w:rPr>
          <w:rFonts w:asciiTheme="minorHAnsi" w:hAnsiTheme="minorHAnsi"/>
          <w:sz w:val="22"/>
          <w:szCs w:val="22"/>
        </w:rPr>
        <w:t>din Hotărârea Adunării Provinciei privind bugetul Provinciei Autonome Voivodina pentru anul 2022 („Buletinul oficial al P.A.V.” numărul 54/2021, 7/2022- reechilibrare şi 37/2022-reechilibrare), raportat la Concluzia Guvernului Provincial numărul 90-1079/2021 din 5 ianuarie 2022 şi la propunerea pentru acordarea  premiilor conform Concursului pentru alegerea lucrării pe tema „Armonia voivodineană” numărul 128-90-1096/2022-05-02 din 10 octombrie 2022, a comisiei de concurs pentru examinarea şi evaluarea cererilor în baza Concursului pentru alegerea lucrării pe tema „Armonia voivodineană”, secretarul provincial pentru  educaţie, reglementări, administraţie şi minorităţile naţionale - comunităţile naţionale, emite</w:t>
      </w:r>
    </w:p>
    <w:p w:rsidR="007D6CF8" w:rsidRDefault="007D6CF8" w:rsidP="002B5C59">
      <w:pPr>
        <w:ind w:firstLine="708"/>
        <w:jc w:val="both"/>
        <w:rPr>
          <w:rFonts w:asciiTheme="minorHAnsi" w:hAnsiTheme="minorHAnsi"/>
          <w:noProof/>
          <w:sz w:val="20"/>
          <w:szCs w:val="20"/>
        </w:rPr>
      </w:pP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DECIZIA</w:t>
      </w:r>
    </w:p>
    <w:p w:rsidR="00FD7814" w:rsidRDefault="00F23D64" w:rsidP="00FD7814">
      <w:pPr>
        <w:jc w:val="center"/>
        <w:rPr>
          <w:rFonts w:asciiTheme="minorHAnsi" w:hAnsiTheme="minorHAnsi"/>
          <w:b/>
          <w:noProof/>
          <w:sz w:val="22"/>
          <w:szCs w:val="22"/>
        </w:rPr>
      </w:pPr>
      <w:r>
        <w:rPr>
          <w:rFonts w:asciiTheme="minorHAnsi" w:hAnsiTheme="minorHAnsi"/>
          <w:b/>
          <w:sz w:val="22"/>
          <w:szCs w:val="22"/>
        </w:rPr>
        <w:t>PRIVIND ACORDAREA PREMIILOR CONFORM CONCURSULUI PENTRU ALEGEREA LUCRĂRII PE TEMA</w:t>
      </w:r>
    </w:p>
    <w:p w:rsidR="00517438" w:rsidRPr="00517438" w:rsidRDefault="00FD7814" w:rsidP="00FD7814">
      <w:pPr>
        <w:jc w:val="center"/>
        <w:rPr>
          <w:rFonts w:asciiTheme="minorHAnsi" w:hAnsiTheme="minorHAnsi"/>
          <w:b/>
          <w:noProof/>
          <w:sz w:val="22"/>
          <w:szCs w:val="22"/>
        </w:rPr>
      </w:pPr>
      <w:r>
        <w:rPr>
          <w:rFonts w:asciiTheme="minorHAnsi" w:hAnsiTheme="minorHAnsi"/>
          <w:b/>
          <w:sz w:val="22"/>
          <w:szCs w:val="22"/>
        </w:rPr>
        <w:t xml:space="preserve">„ARMONIA VOIVODINEANĂ” </w:t>
      </w:r>
      <w:r>
        <w:rPr>
          <w:rFonts w:asciiTheme="minorHAnsi" w:hAnsiTheme="minorHAnsi"/>
          <w:b/>
          <w:bCs/>
          <w:sz w:val="22"/>
          <w:szCs w:val="22"/>
        </w:rPr>
        <w:t xml:space="preserve"> </w:t>
      </w:r>
    </w:p>
    <w:p w:rsidR="00170FB1" w:rsidRDefault="00170FB1"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E0051A" w:rsidRDefault="00E0051A" w:rsidP="00517438">
      <w:pPr>
        <w:ind w:right="-46" w:firstLine="540"/>
        <w:jc w:val="both"/>
        <w:rPr>
          <w:rFonts w:asciiTheme="minorHAnsi" w:hAnsiTheme="minorHAnsi" w:cs="Arial"/>
          <w:bCs/>
          <w:noProof/>
          <w:sz w:val="22"/>
          <w:szCs w:val="22"/>
        </w:rPr>
      </w:pPr>
      <w:r>
        <w:rPr>
          <w:rFonts w:asciiTheme="minorHAnsi" w:hAnsiTheme="minorHAnsi"/>
          <w:sz w:val="22"/>
          <w:szCs w:val="22"/>
        </w:rPr>
        <w:t>În baza Concursului pentru alegerea lucrării pe tema „Armonia voivodineană”, publicat pe data de 22.09.2022, sub numărul 128-90-1096/2022-05, care a fost publicat în „Buletinul oficial al P.A. Voivodina” numărul 41/2022, pe data de 28.09.2022, sunt premiaţi următorii semnatari ai cererilor:</w:t>
      </w:r>
    </w:p>
    <w:p w:rsidR="001B481F" w:rsidRDefault="001B481F" w:rsidP="00517438">
      <w:pPr>
        <w:ind w:right="-46" w:firstLine="540"/>
        <w:jc w:val="both"/>
        <w:rPr>
          <w:rFonts w:asciiTheme="minorHAnsi" w:hAnsiTheme="minorHAnsi" w:cs="Arial"/>
          <w:bCs/>
          <w:noProof/>
          <w:sz w:val="22"/>
          <w:szCs w:val="22"/>
          <w:lang w:val="sr-Cyrl-CS"/>
        </w:rPr>
      </w:pPr>
    </w:p>
    <w:tbl>
      <w:tblPr>
        <w:tblW w:w="1053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832"/>
        <w:gridCol w:w="1970"/>
        <w:gridCol w:w="3140"/>
      </w:tblGrid>
      <w:tr w:rsidR="00832833" w:rsidRPr="00ED2BED" w:rsidTr="00832833">
        <w:trPr>
          <w:trHeight w:val="390"/>
        </w:trPr>
        <w:tc>
          <w:tcPr>
            <w:tcW w:w="1591" w:type="dxa"/>
            <w:shd w:val="clear" w:color="auto" w:fill="FBE4D5"/>
            <w:vAlign w:val="center"/>
          </w:tcPr>
          <w:p w:rsidR="00832833" w:rsidRPr="00875B71" w:rsidRDefault="00832833" w:rsidP="00875B71">
            <w:pPr>
              <w:pStyle w:val="BodyTextIndent"/>
              <w:spacing w:after="0"/>
              <w:ind w:left="0"/>
              <w:jc w:val="left"/>
              <w:rPr>
                <w:rFonts w:cs="Arial"/>
                <w:b/>
                <w:sz w:val="17"/>
                <w:szCs w:val="17"/>
              </w:rPr>
            </w:pPr>
            <w:r>
              <w:rPr>
                <w:b/>
                <w:sz w:val="17"/>
                <w:szCs w:val="17"/>
              </w:rPr>
              <w:t>Clasament</w:t>
            </w:r>
          </w:p>
        </w:tc>
        <w:tc>
          <w:tcPr>
            <w:tcW w:w="3832" w:type="dxa"/>
            <w:shd w:val="clear" w:color="auto" w:fill="FBE4D5"/>
            <w:vAlign w:val="center"/>
          </w:tcPr>
          <w:p w:rsidR="00832833" w:rsidRPr="00875B71" w:rsidRDefault="00832833" w:rsidP="00470B47">
            <w:pPr>
              <w:pStyle w:val="BodyTextIndent"/>
              <w:spacing w:after="0"/>
              <w:ind w:left="0"/>
              <w:jc w:val="center"/>
              <w:rPr>
                <w:rFonts w:cs="Arial"/>
                <w:b/>
                <w:sz w:val="17"/>
                <w:szCs w:val="17"/>
              </w:rPr>
            </w:pPr>
            <w:r>
              <w:rPr>
                <w:b/>
                <w:sz w:val="17"/>
                <w:szCs w:val="17"/>
              </w:rPr>
              <w:t>Şcoala</w:t>
            </w:r>
          </w:p>
        </w:tc>
        <w:tc>
          <w:tcPr>
            <w:tcW w:w="1970" w:type="dxa"/>
            <w:shd w:val="clear" w:color="auto" w:fill="FBE4D5"/>
            <w:vAlign w:val="center"/>
          </w:tcPr>
          <w:p w:rsidR="00832833" w:rsidRPr="00875B71" w:rsidRDefault="00832833" w:rsidP="00470B47">
            <w:pPr>
              <w:pStyle w:val="BodyTextIndent"/>
              <w:spacing w:after="0"/>
              <w:ind w:left="0"/>
              <w:jc w:val="center"/>
              <w:rPr>
                <w:rFonts w:cs="Arial"/>
                <w:b/>
                <w:sz w:val="17"/>
                <w:szCs w:val="17"/>
              </w:rPr>
            </w:pPr>
            <w:r>
              <w:rPr>
                <w:b/>
                <w:sz w:val="17"/>
                <w:szCs w:val="17"/>
              </w:rPr>
              <w:t>Localitatea</w:t>
            </w:r>
          </w:p>
        </w:tc>
        <w:tc>
          <w:tcPr>
            <w:tcW w:w="3140" w:type="dxa"/>
            <w:shd w:val="clear" w:color="auto" w:fill="FBE4D5"/>
            <w:vAlign w:val="center"/>
          </w:tcPr>
          <w:p w:rsidR="00832833" w:rsidRPr="00875B71" w:rsidRDefault="00832833" w:rsidP="00470B47">
            <w:pPr>
              <w:pStyle w:val="BodyTextIndent"/>
              <w:spacing w:after="0"/>
              <w:ind w:left="0"/>
              <w:jc w:val="center"/>
              <w:rPr>
                <w:rFonts w:cs="Arial"/>
                <w:b/>
                <w:sz w:val="17"/>
                <w:szCs w:val="17"/>
              </w:rPr>
            </w:pPr>
            <w:r>
              <w:rPr>
                <w:b/>
                <w:sz w:val="17"/>
                <w:szCs w:val="17"/>
              </w:rPr>
              <w:t>Premiul</w:t>
            </w:r>
          </w:p>
        </w:tc>
      </w:tr>
      <w:tr w:rsidR="000D3055" w:rsidRPr="00ED2BED" w:rsidTr="00832833">
        <w:trPr>
          <w:trHeight w:val="964"/>
        </w:trPr>
        <w:tc>
          <w:tcPr>
            <w:tcW w:w="1591" w:type="dxa"/>
            <w:shd w:val="clear" w:color="auto" w:fill="auto"/>
            <w:vAlign w:val="center"/>
          </w:tcPr>
          <w:p w:rsidR="000D3055" w:rsidRPr="00ED2BED" w:rsidRDefault="000D3055" w:rsidP="000D3055">
            <w:pPr>
              <w:pStyle w:val="BodyTextIndent"/>
              <w:spacing w:after="0"/>
              <w:ind w:left="0"/>
              <w:jc w:val="left"/>
              <w:rPr>
                <w:rFonts w:cs="Arial"/>
                <w:sz w:val="17"/>
                <w:szCs w:val="17"/>
              </w:rPr>
            </w:pPr>
            <w:r>
              <w:rPr>
                <w:sz w:val="17"/>
                <w:szCs w:val="17"/>
              </w:rPr>
              <w:t>Locul I</w:t>
            </w:r>
          </w:p>
        </w:tc>
        <w:tc>
          <w:tcPr>
            <w:tcW w:w="3832" w:type="dxa"/>
            <w:shd w:val="clear" w:color="auto" w:fill="auto"/>
            <w:vAlign w:val="center"/>
          </w:tcPr>
          <w:p w:rsidR="000D3055" w:rsidRPr="00323B50" w:rsidRDefault="000D3055" w:rsidP="000D3055">
            <w:pPr>
              <w:pStyle w:val="BodyTextIndent"/>
              <w:spacing w:after="0"/>
              <w:ind w:left="0"/>
              <w:jc w:val="left"/>
              <w:rPr>
                <w:rFonts w:ascii="Calibri" w:hAnsi="Calibri" w:cs="Calibri"/>
                <w:b/>
                <w:szCs w:val="22"/>
              </w:rPr>
            </w:pPr>
            <w:r>
              <w:rPr>
                <w:rFonts w:ascii="Calibri" w:hAnsi="Calibri"/>
                <w:color w:val="000000"/>
                <w:szCs w:val="22"/>
              </w:rPr>
              <w:t>Liceul clasic episcopal „Paulinum”</w:t>
            </w:r>
          </w:p>
        </w:tc>
        <w:tc>
          <w:tcPr>
            <w:tcW w:w="1970" w:type="dxa"/>
            <w:vAlign w:val="center"/>
          </w:tcPr>
          <w:p w:rsidR="000D3055" w:rsidRPr="00801F6B" w:rsidRDefault="000D3055" w:rsidP="000D3055">
            <w:pPr>
              <w:pStyle w:val="BodyTextIndent"/>
              <w:spacing w:after="0"/>
              <w:ind w:left="0"/>
              <w:jc w:val="left"/>
              <w:rPr>
                <w:rFonts w:ascii="Calibri" w:hAnsi="Calibri" w:cs="Calibri"/>
                <w:szCs w:val="22"/>
              </w:rPr>
            </w:pPr>
            <w:r>
              <w:rPr>
                <w:rFonts w:ascii="Calibri" w:hAnsi="Calibri"/>
                <w:szCs w:val="22"/>
              </w:rPr>
              <w:t>Subotica</w:t>
            </w:r>
          </w:p>
        </w:tc>
        <w:tc>
          <w:tcPr>
            <w:tcW w:w="3140" w:type="dxa"/>
            <w:shd w:val="clear" w:color="auto" w:fill="auto"/>
            <w:vAlign w:val="center"/>
          </w:tcPr>
          <w:p w:rsidR="000D3055" w:rsidRPr="00C37E7F" w:rsidRDefault="000D3055" w:rsidP="000D3055">
            <w:pPr>
              <w:pStyle w:val="BodyTextIndent"/>
              <w:spacing w:after="0"/>
              <w:ind w:left="0"/>
              <w:jc w:val="left"/>
              <w:rPr>
                <w:rFonts w:ascii="Calibri" w:hAnsi="Calibri" w:cs="Calibri"/>
                <w:szCs w:val="22"/>
              </w:rPr>
            </w:pPr>
            <w:r>
              <w:rPr>
                <w:rFonts w:ascii="Calibri" w:hAnsi="Calibri"/>
                <w:szCs w:val="22"/>
              </w:rPr>
              <w:t>Călătorie educativă, Republica Italia</w:t>
            </w:r>
          </w:p>
        </w:tc>
      </w:tr>
      <w:tr w:rsidR="000D3055" w:rsidRPr="00ED2BED" w:rsidTr="00832833">
        <w:trPr>
          <w:trHeight w:val="1366"/>
        </w:trPr>
        <w:tc>
          <w:tcPr>
            <w:tcW w:w="1591" w:type="dxa"/>
            <w:shd w:val="clear" w:color="auto" w:fill="auto"/>
            <w:vAlign w:val="center"/>
          </w:tcPr>
          <w:p w:rsidR="000D3055" w:rsidRPr="00ED2BED" w:rsidRDefault="000D3055" w:rsidP="000D3055">
            <w:pPr>
              <w:pStyle w:val="BodyTextIndent"/>
              <w:spacing w:after="0"/>
              <w:ind w:left="0"/>
              <w:jc w:val="left"/>
              <w:rPr>
                <w:rFonts w:cs="Arial"/>
                <w:sz w:val="17"/>
                <w:szCs w:val="17"/>
              </w:rPr>
            </w:pPr>
            <w:r>
              <w:rPr>
                <w:sz w:val="17"/>
                <w:szCs w:val="17"/>
              </w:rPr>
              <w:t>Locul II</w:t>
            </w:r>
          </w:p>
        </w:tc>
        <w:tc>
          <w:tcPr>
            <w:tcW w:w="3832" w:type="dxa"/>
            <w:shd w:val="clear" w:color="auto" w:fill="auto"/>
            <w:vAlign w:val="center"/>
          </w:tcPr>
          <w:p w:rsidR="000D3055" w:rsidRPr="00323B50" w:rsidRDefault="000D3055" w:rsidP="000D3055">
            <w:pPr>
              <w:pStyle w:val="BodyTextIndent"/>
              <w:spacing w:after="0"/>
              <w:ind w:left="0"/>
              <w:jc w:val="left"/>
              <w:rPr>
                <w:rFonts w:ascii="Calibri" w:hAnsi="Calibri" w:cs="Calibri"/>
                <w:b/>
                <w:szCs w:val="22"/>
              </w:rPr>
            </w:pPr>
            <w:r>
              <w:rPr>
                <w:rFonts w:ascii="Calibri" w:hAnsi="Calibri"/>
                <w:color w:val="000000"/>
                <w:szCs w:val="22"/>
              </w:rPr>
              <w:t>Şcoala Elementară „Frăţie şi Unitate”</w:t>
            </w:r>
          </w:p>
        </w:tc>
        <w:tc>
          <w:tcPr>
            <w:tcW w:w="1970" w:type="dxa"/>
            <w:vAlign w:val="center"/>
          </w:tcPr>
          <w:p w:rsidR="000D3055" w:rsidRPr="00801F6B" w:rsidRDefault="000D3055" w:rsidP="000D3055">
            <w:pPr>
              <w:pStyle w:val="BodyTextIndent"/>
              <w:spacing w:after="0"/>
              <w:ind w:left="0"/>
              <w:jc w:val="left"/>
              <w:rPr>
                <w:rFonts w:ascii="Calibri" w:hAnsi="Calibri" w:cs="Calibri"/>
                <w:szCs w:val="22"/>
              </w:rPr>
            </w:pPr>
            <w:r>
              <w:rPr>
                <w:rFonts w:ascii="Calibri" w:hAnsi="Calibri"/>
                <w:szCs w:val="22"/>
              </w:rPr>
              <w:t>Belo Blato</w:t>
            </w:r>
          </w:p>
        </w:tc>
        <w:tc>
          <w:tcPr>
            <w:tcW w:w="3140" w:type="dxa"/>
            <w:shd w:val="clear" w:color="auto" w:fill="auto"/>
            <w:vAlign w:val="center"/>
          </w:tcPr>
          <w:p w:rsidR="000D3055" w:rsidRPr="00C37E7F" w:rsidRDefault="000D3055" w:rsidP="000D3055">
            <w:pPr>
              <w:pStyle w:val="BodyTextIndent"/>
              <w:spacing w:after="0"/>
              <w:ind w:left="0"/>
              <w:jc w:val="left"/>
              <w:rPr>
                <w:rFonts w:ascii="Calibri" w:hAnsi="Calibri" w:cs="Calibri"/>
                <w:szCs w:val="22"/>
              </w:rPr>
            </w:pPr>
            <w:r>
              <w:rPr>
                <w:rFonts w:ascii="Calibri" w:hAnsi="Calibri"/>
                <w:szCs w:val="22"/>
              </w:rPr>
              <w:t>Excursie, Rezervaţia naturală specială „Obedska bara”</w:t>
            </w:r>
          </w:p>
        </w:tc>
      </w:tr>
    </w:tbl>
    <w:p w:rsidR="00791F4B" w:rsidRDefault="00791F4B" w:rsidP="002B5C59">
      <w:pPr>
        <w:rPr>
          <w:rFonts w:asciiTheme="minorHAnsi" w:hAnsiTheme="minorHAnsi"/>
          <w:b/>
          <w:noProof/>
          <w:sz w:val="20"/>
          <w:szCs w:val="20"/>
        </w:rPr>
      </w:pPr>
    </w:p>
    <w:p w:rsidR="00875B71" w:rsidRDefault="00875B71" w:rsidP="002B5C59">
      <w:pPr>
        <w:rPr>
          <w:rFonts w:asciiTheme="minorHAnsi" w:hAnsiTheme="minorHAnsi"/>
          <w:b/>
          <w:noProof/>
          <w:sz w:val="20"/>
          <w:szCs w:val="20"/>
        </w:rPr>
      </w:pPr>
    </w:p>
    <w:p w:rsidR="005175D5" w:rsidRDefault="00F23D64" w:rsidP="0056396F">
      <w:pPr>
        <w:jc w:val="center"/>
        <w:rPr>
          <w:rFonts w:asciiTheme="minorHAnsi" w:hAnsiTheme="minorHAnsi"/>
          <w:b/>
          <w:noProof/>
          <w:sz w:val="20"/>
          <w:szCs w:val="20"/>
        </w:rPr>
      </w:pPr>
      <w:r>
        <w:rPr>
          <w:rFonts w:asciiTheme="minorHAnsi" w:hAnsiTheme="minorHAnsi"/>
          <w:b/>
          <w:sz w:val="20"/>
          <w:szCs w:val="20"/>
        </w:rPr>
        <w:t>II</w:t>
      </w:r>
    </w:p>
    <w:p w:rsidR="001B481F" w:rsidRPr="006D4672" w:rsidRDefault="001B481F" w:rsidP="0056396F">
      <w:pPr>
        <w:jc w:val="center"/>
        <w:rPr>
          <w:rFonts w:asciiTheme="minorHAnsi" w:hAnsiTheme="minorHAnsi"/>
          <w:b/>
          <w:noProof/>
          <w:sz w:val="20"/>
          <w:szCs w:val="20"/>
          <w:lang w:val="sr-Latn-RS"/>
        </w:rPr>
      </w:pPr>
    </w:p>
    <w:p w:rsidR="002036F0" w:rsidRPr="006D4672" w:rsidRDefault="00F23D64" w:rsidP="00791F4B">
      <w:pPr>
        <w:spacing w:after="240"/>
        <w:ind w:firstLine="708"/>
        <w:jc w:val="both"/>
        <w:rPr>
          <w:rFonts w:asciiTheme="minorHAnsi" w:hAnsiTheme="minorHAnsi"/>
          <w:noProof/>
          <w:sz w:val="22"/>
          <w:szCs w:val="22"/>
        </w:rPr>
      </w:pPr>
      <w:r>
        <w:rPr>
          <w:rFonts w:asciiTheme="minorHAnsi" w:hAnsiTheme="minorHAnsi"/>
          <w:sz w:val="22"/>
          <w:szCs w:val="22"/>
        </w:rPr>
        <w:t>Prezenta decizie privind alegerea lucrărilor premiate va fi publicată pe pagina oficială de internet a Secretariatului Provincial.</w:t>
      </w: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Expunerea de motive:</w:t>
      </w:r>
    </w:p>
    <w:p w:rsidR="001B481F" w:rsidRPr="006D4672" w:rsidRDefault="001B481F" w:rsidP="0056396F">
      <w:pPr>
        <w:jc w:val="center"/>
        <w:rPr>
          <w:rFonts w:asciiTheme="minorHAnsi" w:hAnsiTheme="minorHAnsi"/>
          <w:noProof/>
          <w:sz w:val="22"/>
          <w:szCs w:val="22"/>
          <w:lang w:val="sr-Cyrl-CS"/>
        </w:rPr>
      </w:pPr>
    </w:p>
    <w:p w:rsidR="003C629D" w:rsidRDefault="00890DF0" w:rsidP="00466F11">
      <w:pPr>
        <w:ind w:firstLine="708"/>
        <w:jc w:val="both"/>
        <w:rPr>
          <w:rFonts w:asciiTheme="minorHAnsi" w:hAnsiTheme="minorHAnsi" w:cs="Arial"/>
          <w:bCs/>
          <w:noProof/>
          <w:sz w:val="22"/>
          <w:szCs w:val="22"/>
        </w:rPr>
      </w:pPr>
      <w:r>
        <w:rPr>
          <w:rFonts w:asciiTheme="minorHAnsi" w:hAnsiTheme="minorHAnsi"/>
          <w:bCs/>
          <w:sz w:val="22"/>
          <w:szCs w:val="22"/>
        </w:rPr>
        <w:t xml:space="preserve">În baza articolului 24 alineatul 2  din Hotărârea Adunării Provinciei privind administrația provincială („Buletinul oficial al P.A.V.", numărul 37/2014, 54/2014 – altă reglementare, 37/2016, 29/2017, 24/2019, 66/2020 și 38/2021), raportat la articolul 11 şi 23 alineatul 4 </w:t>
      </w:r>
      <w:r>
        <w:rPr>
          <w:rFonts w:asciiTheme="minorHAnsi" w:hAnsiTheme="minorHAnsi"/>
          <w:sz w:val="22"/>
          <w:szCs w:val="22"/>
        </w:rPr>
        <w:t xml:space="preserve">din Hotărârea Adunării Provinciei privind bugetul Provinciei Autonome Voivodina pentru anul 2022 („Buletinul oficial al P.A.V.“, numerele 54/2021, 7/2022-reechilibrare și 37/2022-reechilibrare), raportat la Concluzia Guvernului Provincial numărul: 90-1079/2021 din 5 ianuarie 2022, Secretariatul Provincial pentru </w:t>
      </w:r>
      <w:r>
        <w:rPr>
          <w:rFonts w:asciiTheme="minorHAnsi" w:hAnsiTheme="minorHAnsi"/>
          <w:sz w:val="22"/>
          <w:szCs w:val="22"/>
        </w:rPr>
        <w:lastRenderedPageBreak/>
        <w:t>Educaţie, Reglementări, Administraţie şi Minoritățile Naționale - Comunităţile Naţionale, pe data de 22.09.2022, a publicat Concursul pentru alegerea lucrării pe tema „Armonia voivodineană”, sub numărul 128-90-1096/2022-05.</w:t>
      </w:r>
    </w:p>
    <w:p w:rsidR="00890DF0" w:rsidRPr="006D4672" w:rsidRDefault="00890DF0" w:rsidP="00466F11">
      <w:pPr>
        <w:ind w:firstLine="708"/>
        <w:jc w:val="both"/>
        <w:rPr>
          <w:rFonts w:asciiTheme="minorHAnsi" w:hAnsiTheme="minorHAnsi" w:cs="Arial"/>
          <w:bCs/>
          <w:noProof/>
          <w:sz w:val="22"/>
          <w:szCs w:val="22"/>
          <w:lang w:val="sr-Cyrl-CS"/>
        </w:rPr>
      </w:pPr>
    </w:p>
    <w:p w:rsidR="00ED7D0E" w:rsidRPr="006D4672" w:rsidRDefault="00832833" w:rsidP="00ED7D0E">
      <w:pPr>
        <w:ind w:firstLine="708"/>
        <w:jc w:val="both"/>
        <w:rPr>
          <w:rFonts w:asciiTheme="minorHAnsi" w:hAnsiTheme="minorHAnsi"/>
          <w:noProof/>
          <w:sz w:val="22"/>
          <w:szCs w:val="22"/>
        </w:rPr>
      </w:pPr>
      <w:r>
        <w:rPr>
          <w:rFonts w:asciiTheme="minorHAnsi" w:hAnsiTheme="minorHAnsi"/>
          <w:sz w:val="22"/>
          <w:szCs w:val="22"/>
        </w:rPr>
        <w:t>În baza articolul 24 alineatul 2 din Hotărârea Adunării Provinciei privind administraţia provincială („Buletinul oficial al P.A.V.“ nr.</w:t>
      </w:r>
      <w:r>
        <w:rPr>
          <w:rFonts w:asciiTheme="minorHAnsi" w:hAnsiTheme="minorHAnsi"/>
          <w:bCs/>
          <w:sz w:val="22"/>
          <w:szCs w:val="22"/>
        </w:rPr>
        <w:t xml:space="preserve"> 37/2014, 54/2014 – al. reglementare, 37/2016 , 29/2017 , 24/2019, 66/2020 şi 38/2021)</w:t>
      </w:r>
      <w:r>
        <w:rPr>
          <w:rFonts w:asciiTheme="minorHAnsi" w:hAnsiTheme="minorHAnsi"/>
          <w:sz w:val="22"/>
          <w:szCs w:val="22"/>
        </w:rPr>
        <w:t xml:space="preserve">,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w:t>
      </w:r>
    </w:p>
    <w:p w:rsidR="00890DF0" w:rsidRDefault="00890DF0" w:rsidP="000B7853">
      <w:pPr>
        <w:ind w:firstLine="708"/>
        <w:jc w:val="both"/>
        <w:rPr>
          <w:rFonts w:asciiTheme="minorHAnsi" w:hAnsiTheme="minorHAnsi"/>
          <w:bCs/>
          <w:noProof/>
          <w:sz w:val="22"/>
          <w:szCs w:val="22"/>
          <w:lang w:val="sr-Cyrl-CS"/>
        </w:rPr>
      </w:pPr>
    </w:p>
    <w:p w:rsidR="008D1BF1" w:rsidRDefault="005B6D5B" w:rsidP="000B7853">
      <w:pPr>
        <w:ind w:firstLine="708"/>
        <w:jc w:val="both"/>
        <w:rPr>
          <w:rFonts w:asciiTheme="minorHAnsi" w:hAnsiTheme="minorHAnsi" w:cstheme="minorHAnsi"/>
          <w:color w:val="000000"/>
          <w:sz w:val="22"/>
          <w:szCs w:val="22"/>
        </w:rPr>
      </w:pPr>
      <w:r>
        <w:rPr>
          <w:rFonts w:asciiTheme="minorHAnsi" w:hAnsiTheme="minorHAnsi"/>
          <w:bCs/>
          <w:sz w:val="22"/>
          <w:szCs w:val="22"/>
        </w:rPr>
        <w:t xml:space="preserve">Comisia de concurs pentru examinarea şi evaluarea cererilor prezentate la concursul pentru alegerea lucrării pe tema „Armonia voivodineană”, a fost înfiinţată prin decizia numărul 128-90-1096/2022-05-01 din 07.10.2022.  </w:t>
      </w:r>
      <w:r>
        <w:rPr>
          <w:rFonts w:asciiTheme="minorHAnsi" w:hAnsiTheme="minorHAnsi"/>
          <w:sz w:val="22"/>
          <w:szCs w:val="22"/>
        </w:rPr>
        <w:t>Comisia s-a întrunit  pe data de 10.10.2022 şi în urma examinării şi evaluării cererilor depuse la concursul menţionat, a stabilit lista evaluării, punctajul şi clasamentul  lucrărilor prezentate şi a trimis propunerea către secretarul provincial pentru emiterea deciziei definitive cu privire la alegerea lucrării premiate conform repartizarea mijloacelor conform Concursului pentru alegerea lucrării pe tema „Armonia voivodineană”.</w:t>
      </w:r>
    </w:p>
    <w:p w:rsidR="00890DF0" w:rsidRDefault="00890DF0" w:rsidP="000B7853">
      <w:pPr>
        <w:ind w:firstLine="708"/>
        <w:jc w:val="both"/>
        <w:rPr>
          <w:rFonts w:asciiTheme="minorHAnsi" w:hAnsiTheme="minorHAnsi"/>
          <w:noProof/>
          <w:sz w:val="22"/>
          <w:szCs w:val="22"/>
          <w:lang w:val="sr-Cyrl-CS"/>
        </w:rPr>
      </w:pPr>
    </w:p>
    <w:p w:rsidR="0056396F" w:rsidRPr="006D4672" w:rsidRDefault="00F23D64" w:rsidP="000B7853">
      <w:pPr>
        <w:ind w:firstLine="708"/>
        <w:jc w:val="both"/>
        <w:rPr>
          <w:rFonts w:asciiTheme="minorHAnsi" w:hAnsiTheme="minorHAnsi"/>
          <w:noProof/>
          <w:sz w:val="22"/>
          <w:szCs w:val="22"/>
        </w:rPr>
      </w:pPr>
      <w:r>
        <w:rPr>
          <w:rFonts w:asciiTheme="minorHAnsi" w:hAnsiTheme="minorHAnsi"/>
          <w:sz w:val="22"/>
          <w:szCs w:val="22"/>
        </w:rPr>
        <w:t>În conformitate cu cele menționate, secretarul provincial pentru educaţie, reglementări, administraţie şi minorităţile naţionale - comunităţile naţionale, a acceptat propunerea comisiei de concurs pentru examinarea şi evaluarea cererilor prezentate la concursul pentru alegerea lucrării pe tema „Armonia voivodineană” şi a emis decizia precum în dispozitiv.</w:t>
      </w:r>
    </w:p>
    <w:p w:rsidR="00F36FE4" w:rsidRPr="006D4672" w:rsidRDefault="00F36FE4" w:rsidP="000B7853">
      <w:pPr>
        <w:ind w:firstLine="708"/>
        <w:jc w:val="both"/>
        <w:rPr>
          <w:rFonts w:asciiTheme="minorHAnsi" w:hAnsiTheme="minorHAnsi"/>
          <w:bCs/>
          <w:noProof/>
          <w:sz w:val="22"/>
          <w:szCs w:val="22"/>
          <w:lang w:val="sr-Latn-RS"/>
        </w:rPr>
      </w:pPr>
    </w:p>
    <w:p w:rsidR="004C487B" w:rsidRPr="006D4672" w:rsidRDefault="004C487B" w:rsidP="004C487B">
      <w:pPr>
        <w:ind w:firstLine="708"/>
        <w:jc w:val="both"/>
        <w:rPr>
          <w:rFonts w:asciiTheme="minorHAnsi" w:hAnsiTheme="minorHAnsi"/>
          <w:noProof/>
          <w:sz w:val="22"/>
          <w:szCs w:val="22"/>
        </w:rPr>
      </w:pPr>
      <w:r>
        <w:rPr>
          <w:rFonts w:asciiTheme="minorHAnsi" w:hAnsiTheme="minorHAnsi"/>
          <w:sz w:val="22"/>
          <w:szCs w:val="22"/>
        </w:rPr>
        <w:t>Prezenta decizie este definitivă.</w:t>
      </w:r>
    </w:p>
    <w:p w:rsidR="0056396F" w:rsidRPr="006D4672" w:rsidRDefault="0056396F" w:rsidP="00AD36DB">
      <w:pPr>
        <w:tabs>
          <w:tab w:val="left" w:pos="3960"/>
        </w:tabs>
        <w:jc w:val="both"/>
        <w:rPr>
          <w:rFonts w:asciiTheme="minorHAnsi" w:hAnsiTheme="minorHAnsi"/>
          <w:noProof/>
          <w:sz w:val="22"/>
          <w:szCs w:val="22"/>
          <w:lang w:val="sr-Cyrl-RS"/>
        </w:rPr>
      </w:pPr>
    </w:p>
    <w:p w:rsidR="00D0326D" w:rsidRPr="00D0326D" w:rsidRDefault="00D0326D" w:rsidP="00D0326D">
      <w:pPr>
        <w:tabs>
          <w:tab w:val="center" w:pos="7088"/>
        </w:tabs>
        <w:jc w:val="both"/>
        <w:rPr>
          <w:rFonts w:ascii="Calibri" w:hAnsi="Calibri"/>
          <w:sz w:val="22"/>
          <w:szCs w:val="20"/>
        </w:rPr>
      </w:pPr>
      <w:r>
        <w:rPr>
          <w:rFonts w:ascii="Calibri" w:hAnsi="Calibri"/>
          <w:sz w:val="22"/>
          <w:szCs w:val="20"/>
        </w:rPr>
        <w:tab/>
        <w:t>Secretarul provincial</w:t>
      </w:r>
    </w:p>
    <w:p w:rsidR="00D0326D" w:rsidRPr="00D0326D" w:rsidRDefault="00D0326D" w:rsidP="00D0326D">
      <w:pPr>
        <w:tabs>
          <w:tab w:val="center" w:pos="7088"/>
        </w:tabs>
        <w:jc w:val="both"/>
        <w:rPr>
          <w:rFonts w:ascii="Calibri" w:hAnsi="Calibri"/>
          <w:sz w:val="22"/>
          <w:szCs w:val="20"/>
          <w:lang w:val="sr-Cyrl-RS"/>
        </w:rPr>
      </w:pPr>
    </w:p>
    <w:p w:rsidR="00D0326D" w:rsidRPr="00D0326D" w:rsidRDefault="00D0326D" w:rsidP="00D0326D">
      <w:pPr>
        <w:tabs>
          <w:tab w:val="center" w:pos="7088"/>
        </w:tabs>
        <w:jc w:val="both"/>
        <w:rPr>
          <w:rFonts w:ascii="Calibri" w:hAnsi="Calibri"/>
          <w:sz w:val="22"/>
          <w:szCs w:val="20"/>
          <w:lang w:val="sr-Cyrl-RS"/>
        </w:rPr>
      </w:pPr>
    </w:p>
    <w:p w:rsidR="00CC18F7" w:rsidRPr="00CC18F7" w:rsidRDefault="00D0326D" w:rsidP="00CC18F7">
      <w:pPr>
        <w:tabs>
          <w:tab w:val="center" w:pos="7088"/>
        </w:tabs>
        <w:jc w:val="both"/>
        <w:rPr>
          <w:rFonts w:ascii="Calibri" w:hAnsi="Calibri"/>
          <w:bCs/>
          <w:sz w:val="22"/>
          <w:szCs w:val="20"/>
        </w:rPr>
      </w:pPr>
      <w:r>
        <w:rPr>
          <w:rFonts w:ascii="Calibri" w:hAnsi="Calibri"/>
          <w:sz w:val="22"/>
          <w:szCs w:val="20"/>
        </w:rPr>
        <w:tab/>
      </w:r>
      <w:r>
        <w:rPr>
          <w:rFonts w:ascii="Calibri" w:hAnsi="Calibri"/>
          <w:bCs/>
          <w:sz w:val="22"/>
          <w:szCs w:val="20"/>
        </w:rPr>
        <w:t>s.s. Szakállas Zsolt</w:t>
      </w:r>
    </w:p>
    <w:p w:rsidR="00CC18F7" w:rsidRPr="00CC18F7" w:rsidRDefault="009D6D4F" w:rsidP="00CC18F7">
      <w:pPr>
        <w:tabs>
          <w:tab w:val="center" w:pos="7088"/>
        </w:tabs>
        <w:jc w:val="both"/>
        <w:rPr>
          <w:rFonts w:ascii="Calibri" w:hAnsi="Calibri"/>
          <w:sz w:val="22"/>
          <w:szCs w:val="20"/>
        </w:rPr>
      </w:pPr>
      <w:r>
        <w:rPr>
          <w:rFonts w:ascii="Calibri" w:hAnsi="Calibri"/>
          <w:bCs/>
          <w:sz w:val="22"/>
          <w:szCs w:val="20"/>
        </w:rPr>
        <w:tab/>
      </w:r>
      <w:bookmarkStart w:id="0" w:name="_GoBack"/>
      <w:bookmarkEnd w:id="0"/>
    </w:p>
    <w:p w:rsidR="00F870FF" w:rsidRPr="00D0326D" w:rsidRDefault="00F870FF" w:rsidP="00CC18F7">
      <w:pPr>
        <w:tabs>
          <w:tab w:val="center" w:pos="7088"/>
        </w:tabs>
        <w:jc w:val="both"/>
        <w:rPr>
          <w:rFonts w:ascii="Calibri" w:hAnsi="Calibri"/>
          <w:sz w:val="22"/>
          <w:szCs w:val="20"/>
          <w:lang w:val="sr-Cyrl-RS"/>
        </w:rPr>
      </w:pP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35B3E"/>
    <w:rsid w:val="00040398"/>
    <w:rsid w:val="000B43F0"/>
    <w:rsid w:val="000B7853"/>
    <w:rsid w:val="000C31BF"/>
    <w:rsid w:val="000D1A62"/>
    <w:rsid w:val="000D3055"/>
    <w:rsid w:val="000E08B8"/>
    <w:rsid w:val="000F0FCA"/>
    <w:rsid w:val="000F64E9"/>
    <w:rsid w:val="000F6E2B"/>
    <w:rsid w:val="00100204"/>
    <w:rsid w:val="0010789A"/>
    <w:rsid w:val="00111510"/>
    <w:rsid w:val="00170FB1"/>
    <w:rsid w:val="00171206"/>
    <w:rsid w:val="001B481F"/>
    <w:rsid w:val="001C08B6"/>
    <w:rsid w:val="001C10E4"/>
    <w:rsid w:val="001E0F0E"/>
    <w:rsid w:val="001E2518"/>
    <w:rsid w:val="001F3988"/>
    <w:rsid w:val="002036F0"/>
    <w:rsid w:val="002272CD"/>
    <w:rsid w:val="00235B52"/>
    <w:rsid w:val="00236E33"/>
    <w:rsid w:val="002621B8"/>
    <w:rsid w:val="002B380B"/>
    <w:rsid w:val="002B5C59"/>
    <w:rsid w:val="002E7BD9"/>
    <w:rsid w:val="002F4C3C"/>
    <w:rsid w:val="00303DDC"/>
    <w:rsid w:val="0031070D"/>
    <w:rsid w:val="00310FEE"/>
    <w:rsid w:val="00370053"/>
    <w:rsid w:val="0039448E"/>
    <w:rsid w:val="003A1A21"/>
    <w:rsid w:val="003A3641"/>
    <w:rsid w:val="003C4061"/>
    <w:rsid w:val="003C629D"/>
    <w:rsid w:val="003F3391"/>
    <w:rsid w:val="003F6CD8"/>
    <w:rsid w:val="0041529B"/>
    <w:rsid w:val="00431E35"/>
    <w:rsid w:val="00457D9A"/>
    <w:rsid w:val="00466F11"/>
    <w:rsid w:val="00470B47"/>
    <w:rsid w:val="00473029"/>
    <w:rsid w:val="00483268"/>
    <w:rsid w:val="004C2E93"/>
    <w:rsid w:val="004C487B"/>
    <w:rsid w:val="004F200D"/>
    <w:rsid w:val="00502103"/>
    <w:rsid w:val="00517438"/>
    <w:rsid w:val="005175D5"/>
    <w:rsid w:val="0053255A"/>
    <w:rsid w:val="0054148B"/>
    <w:rsid w:val="00543D7B"/>
    <w:rsid w:val="0054484B"/>
    <w:rsid w:val="0055036E"/>
    <w:rsid w:val="0056396F"/>
    <w:rsid w:val="00566487"/>
    <w:rsid w:val="0057715C"/>
    <w:rsid w:val="00577AF4"/>
    <w:rsid w:val="00594C72"/>
    <w:rsid w:val="00595516"/>
    <w:rsid w:val="005B0763"/>
    <w:rsid w:val="005B20FA"/>
    <w:rsid w:val="005B6D5B"/>
    <w:rsid w:val="005E4003"/>
    <w:rsid w:val="005E6A1F"/>
    <w:rsid w:val="00600A3D"/>
    <w:rsid w:val="006050B9"/>
    <w:rsid w:val="006378D5"/>
    <w:rsid w:val="006405F9"/>
    <w:rsid w:val="00696613"/>
    <w:rsid w:val="006A0F02"/>
    <w:rsid w:val="006C125E"/>
    <w:rsid w:val="006D4672"/>
    <w:rsid w:val="006F0B65"/>
    <w:rsid w:val="00701FBF"/>
    <w:rsid w:val="00791F4B"/>
    <w:rsid w:val="007D6CF8"/>
    <w:rsid w:val="007E223F"/>
    <w:rsid w:val="00814F58"/>
    <w:rsid w:val="00832833"/>
    <w:rsid w:val="00853ADD"/>
    <w:rsid w:val="0085745D"/>
    <w:rsid w:val="008627DA"/>
    <w:rsid w:val="00866195"/>
    <w:rsid w:val="00875B71"/>
    <w:rsid w:val="0088361D"/>
    <w:rsid w:val="00890DF0"/>
    <w:rsid w:val="008B3528"/>
    <w:rsid w:val="008C424C"/>
    <w:rsid w:val="008C6BA4"/>
    <w:rsid w:val="008D1BF1"/>
    <w:rsid w:val="00925AE1"/>
    <w:rsid w:val="00947058"/>
    <w:rsid w:val="00951D19"/>
    <w:rsid w:val="00955490"/>
    <w:rsid w:val="00981301"/>
    <w:rsid w:val="0099098A"/>
    <w:rsid w:val="009B1AD2"/>
    <w:rsid w:val="009D20A0"/>
    <w:rsid w:val="009D3CB2"/>
    <w:rsid w:val="009D6D4F"/>
    <w:rsid w:val="009E5B71"/>
    <w:rsid w:val="00A47415"/>
    <w:rsid w:val="00A90116"/>
    <w:rsid w:val="00AA4F65"/>
    <w:rsid w:val="00AC6349"/>
    <w:rsid w:val="00AC76CC"/>
    <w:rsid w:val="00AD36DB"/>
    <w:rsid w:val="00B04691"/>
    <w:rsid w:val="00B24CC2"/>
    <w:rsid w:val="00B40C38"/>
    <w:rsid w:val="00B44DC9"/>
    <w:rsid w:val="00B56150"/>
    <w:rsid w:val="00B56AE4"/>
    <w:rsid w:val="00B81707"/>
    <w:rsid w:val="00BB7FB7"/>
    <w:rsid w:val="00BC5505"/>
    <w:rsid w:val="00BE61DE"/>
    <w:rsid w:val="00BF5D56"/>
    <w:rsid w:val="00C3606B"/>
    <w:rsid w:val="00C42F6B"/>
    <w:rsid w:val="00C44C8F"/>
    <w:rsid w:val="00C51D82"/>
    <w:rsid w:val="00C87B97"/>
    <w:rsid w:val="00CA37A0"/>
    <w:rsid w:val="00CC18F7"/>
    <w:rsid w:val="00CC569A"/>
    <w:rsid w:val="00CF1192"/>
    <w:rsid w:val="00D0326D"/>
    <w:rsid w:val="00D118A7"/>
    <w:rsid w:val="00D23F14"/>
    <w:rsid w:val="00D37EBE"/>
    <w:rsid w:val="00D77669"/>
    <w:rsid w:val="00D87FA1"/>
    <w:rsid w:val="00D95CC8"/>
    <w:rsid w:val="00E0051A"/>
    <w:rsid w:val="00E11C89"/>
    <w:rsid w:val="00E62E02"/>
    <w:rsid w:val="00ED385D"/>
    <w:rsid w:val="00ED7D0E"/>
    <w:rsid w:val="00F062D9"/>
    <w:rsid w:val="00F23D64"/>
    <w:rsid w:val="00F36FE4"/>
    <w:rsid w:val="00F64F96"/>
    <w:rsid w:val="00F75D16"/>
    <w:rsid w:val="00F870FF"/>
    <w:rsid w:val="00FA62E5"/>
    <w:rsid w:val="00FD7814"/>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105E-C1C3-40CA-BAD8-F9FD562A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10</cp:revision>
  <cp:lastPrinted>2022-10-07T11:08:00Z</cp:lastPrinted>
  <dcterms:created xsi:type="dcterms:W3CDTF">2022-10-07T06:32:00Z</dcterms:created>
  <dcterms:modified xsi:type="dcterms:W3CDTF">2022-10-11T09:10:00Z</dcterms:modified>
</cp:coreProperties>
</file>