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w:t>
            </w:r>
            <w:r>
              <w:rPr>
                <w:rFonts w:asciiTheme="minorHAnsi" w:hAnsiTheme="minorHAnsi"/>
                <w:b/>
                <w:sz w:val="20"/>
                <w:szCs w:val="16"/>
              </w:rPr>
              <w:br/>
              <w:t>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913E00" w:rsidP="00791F4B">
            <w:pPr>
              <w:spacing w:after="200"/>
              <w:rPr>
                <w:rFonts w:eastAsia="Calibri"/>
                <w:noProof/>
                <w:sz w:val="16"/>
                <w:szCs w:val="16"/>
              </w:rPr>
            </w:pPr>
            <w:hyperlink r:id="rId7" w:history="1">
              <w:r w:rsidR="00E32B51">
                <w:rPr>
                  <w:rStyle w:val="Hyperlink"/>
                  <w:rFonts w:asciiTheme="minorHAnsi" w:hAnsiTheme="minorHAnsi"/>
                  <w:color w:val="auto"/>
                  <w:sz w:val="20"/>
                  <w:szCs w:val="16"/>
                </w:rPr>
                <w:t>ounz@vojvodina.gov.s</w:t>
              </w:r>
            </w:hyperlink>
            <w:r w:rsidR="00E32B51">
              <w:rPr>
                <w:sz w:val="20"/>
                <w:szCs w:val="16"/>
              </w:rPr>
              <w:t xml:space="preserve">  </w:t>
            </w:r>
          </w:p>
        </w:tc>
      </w:tr>
      <w:tr w:rsidR="00BE61DE" w:rsidRPr="006D4672" w:rsidTr="001E0F0E">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483" w:type="dxa"/>
          </w:tcPr>
          <w:p w:rsidR="00BE61DE" w:rsidRPr="001B481F"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 xml:space="preserve">NUMĂRUL: </w:t>
            </w:r>
            <w:r>
              <w:rPr>
                <w:rFonts w:asciiTheme="minorHAnsi" w:hAnsiTheme="minorHAnsi"/>
                <w:sz w:val="18"/>
                <w:szCs w:val="18"/>
              </w:rPr>
              <w:t>128-90-1092/2022-05</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4172" w:type="dxa"/>
          </w:tcPr>
          <w:p w:rsidR="00BE61DE" w:rsidRPr="001B481F" w:rsidRDefault="00F23D64" w:rsidP="000E6D81">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09.06.2022</w:t>
            </w:r>
          </w:p>
        </w:tc>
      </w:tr>
    </w:tbl>
    <w:p w:rsidR="002036F0" w:rsidRPr="006D4672" w:rsidRDefault="00F23D64" w:rsidP="0099098A">
      <w:pPr>
        <w:jc w:val="both"/>
        <w:rPr>
          <w:rFonts w:asciiTheme="minorHAnsi" w:hAnsiTheme="minorHAnsi"/>
          <w:bCs/>
          <w:noProof/>
          <w:sz w:val="22"/>
          <w:szCs w:val="22"/>
        </w:rPr>
      </w:pPr>
      <w:r>
        <w:rPr>
          <w:rFonts w:asciiTheme="minorHAnsi" w:hAnsiTheme="minorHAnsi"/>
          <w:bCs/>
          <w:sz w:val="22"/>
          <w:szCs w:val="22"/>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nr. 37/2014, 54/2014 – altă reglementare, 37/2016 , 29/2017 , 24/2019, 66/2020 și 38/2021), și în baza propunerii pentru acordarea mijloacelor bugetare conform concursului public pentru organizarea taberei educativ-recreative pentru elevii şcolilor medii, numărul 128-90-1092/2022-05 din 30.05.2022, a comisiei de concurs pentru desfășurarea procedurii de acordare a mijloacelor bugetare în baza Concursului public pentru organizarea taberei educativ-recreative pentru elevii şcolilor medii, secretarul provincial pentru educație, reglementări, administrație și minoritățile naționale – comunitățile naționale, emite</w:t>
      </w:r>
    </w:p>
    <w:p w:rsidR="007D6CF8" w:rsidRPr="003C2EFA" w:rsidRDefault="007D6CF8" w:rsidP="002B5C59">
      <w:pPr>
        <w:ind w:firstLine="708"/>
        <w:jc w:val="both"/>
        <w:rPr>
          <w:rFonts w:asciiTheme="minorHAnsi" w:hAnsiTheme="minorHAnsi"/>
          <w:noProof/>
          <w:sz w:val="20"/>
          <w:szCs w:val="20"/>
          <w:lang w:val="sr-Cyrl-RS"/>
        </w:rPr>
      </w:pPr>
    </w:p>
    <w:p w:rsidR="0056396F" w:rsidRPr="006D4672" w:rsidRDefault="00C3373F" w:rsidP="0056396F">
      <w:pPr>
        <w:jc w:val="center"/>
        <w:rPr>
          <w:rFonts w:asciiTheme="minorHAnsi" w:hAnsiTheme="minorHAnsi"/>
          <w:b/>
          <w:noProof/>
          <w:sz w:val="22"/>
          <w:szCs w:val="22"/>
        </w:rPr>
      </w:pPr>
      <w:r>
        <w:rPr>
          <w:rFonts w:asciiTheme="minorHAnsi" w:hAnsiTheme="minorHAnsi"/>
          <w:b/>
          <w:sz w:val="22"/>
          <w:szCs w:val="22"/>
        </w:rPr>
        <w:t>Decizia</w:t>
      </w:r>
    </w:p>
    <w:p w:rsidR="00170FB1" w:rsidRPr="003C2EFA" w:rsidRDefault="00C3373F" w:rsidP="003C2EFA">
      <w:pPr>
        <w:jc w:val="center"/>
        <w:rPr>
          <w:rFonts w:asciiTheme="minorHAnsi" w:hAnsiTheme="minorHAnsi"/>
          <w:b/>
          <w:noProof/>
          <w:sz w:val="22"/>
          <w:szCs w:val="22"/>
        </w:rPr>
      </w:pPr>
      <w:r>
        <w:rPr>
          <w:rFonts w:asciiTheme="minorHAnsi" w:hAnsiTheme="minorHAnsi"/>
          <w:b/>
          <w:sz w:val="22"/>
          <w:szCs w:val="22"/>
        </w:rPr>
        <w:t>privind repartizarea mijloacelor bugetare conform Concursului public pentru organizarea taberei educativ-recreative pentru elevii şcolilor medii</w:t>
      </w: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E0051A" w:rsidRDefault="00E0051A" w:rsidP="00517438">
      <w:pPr>
        <w:ind w:right="-46" w:firstLine="540"/>
        <w:jc w:val="both"/>
        <w:rPr>
          <w:rFonts w:asciiTheme="minorHAnsi" w:hAnsiTheme="minorHAnsi" w:cs="Arial"/>
          <w:bCs/>
          <w:noProof/>
          <w:sz w:val="22"/>
          <w:szCs w:val="22"/>
        </w:rPr>
      </w:pPr>
      <w:r>
        <w:rPr>
          <w:rFonts w:asciiTheme="minorHAnsi" w:hAnsiTheme="minorHAnsi"/>
          <w:bCs/>
          <w:sz w:val="22"/>
          <w:szCs w:val="22"/>
        </w:rPr>
        <w:t>În baza Concursului public pentru organizarea taberei educativ-recreative pentru elevii şcolilor medii, publicat pe data de 09.05.2022, sub numărul 128-90-1092/2022-05, care a fost publicat în „Buletinul oficial al P.A. Voivodina” numărul 21/2022, pe data de 11.05.2022, mijloacele se alocă următorilor semnatari ai cererilor:</w:t>
      </w:r>
    </w:p>
    <w:p w:rsidR="00791F4B" w:rsidRDefault="00791F4B" w:rsidP="002B5C59">
      <w:pPr>
        <w:rPr>
          <w:rFonts w:asciiTheme="minorHAnsi" w:hAnsiTheme="minorHAnsi"/>
          <w:b/>
          <w:noProof/>
          <w:sz w:val="20"/>
          <w:szCs w:val="20"/>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0E6D81" w:rsidTr="0064166D">
        <w:trPr>
          <w:trHeight w:val="821"/>
        </w:trPr>
        <w:tc>
          <w:tcPr>
            <w:tcW w:w="2981" w:type="dxa"/>
            <w:shd w:val="clear" w:color="auto" w:fill="A6A6A6" w:themeFill="background1" w:themeFillShade="A6"/>
            <w:vAlign w:val="center"/>
          </w:tcPr>
          <w:p w:rsidR="000E6D81" w:rsidRPr="00E45D32" w:rsidRDefault="000E6D81" w:rsidP="0064166D">
            <w:pP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0E6D81" w:rsidRPr="00E45D32" w:rsidRDefault="000E6D81" w:rsidP="0064166D">
            <w:pP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0E6D81" w:rsidRPr="00E45D32" w:rsidRDefault="000E6D81" w:rsidP="0064166D">
            <w:pPr>
              <w:jc w:val="right"/>
              <w:rPr>
                <w:rFonts w:ascii="Calibri" w:eastAsia="Calibri" w:hAnsi="Calibri" w:cs="Calibri"/>
                <w:b/>
                <w:bCs/>
                <w:sz w:val="18"/>
                <w:szCs w:val="18"/>
              </w:rPr>
            </w:pPr>
            <w:r>
              <w:rPr>
                <w:rFonts w:ascii="Calibri" w:hAnsi="Calibri"/>
                <w:b/>
                <w:bCs/>
                <w:sz w:val="18"/>
                <w:szCs w:val="18"/>
              </w:rPr>
              <w:t>Propunerea cuantumului pentru repartizare</w:t>
            </w:r>
          </w:p>
        </w:tc>
        <w:tc>
          <w:tcPr>
            <w:tcW w:w="2556" w:type="dxa"/>
            <w:shd w:val="clear" w:color="auto" w:fill="A6A6A6" w:themeFill="background1" w:themeFillShade="A6"/>
            <w:vAlign w:val="center"/>
          </w:tcPr>
          <w:p w:rsidR="000E6D81" w:rsidRPr="00E45D32" w:rsidRDefault="000E6D81" w:rsidP="0064166D">
            <w:pP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0E6D81" w:rsidRPr="00E45D32" w:rsidRDefault="000E6D81" w:rsidP="0064166D">
            <w:pPr>
              <w:jc w:val="center"/>
              <w:rPr>
                <w:rFonts w:ascii="Calibri" w:eastAsia="Calibri" w:hAnsi="Calibri" w:cs="Calibri"/>
                <w:b/>
                <w:bCs/>
                <w:sz w:val="18"/>
                <w:szCs w:val="18"/>
              </w:rPr>
            </w:pPr>
            <w:r>
              <w:rPr>
                <w:rFonts w:ascii="Calibri" w:hAnsi="Calibri"/>
                <w:b/>
                <w:bCs/>
                <w:sz w:val="18"/>
                <w:szCs w:val="18"/>
              </w:rPr>
              <w:t>Numărul</w:t>
            </w:r>
          </w:p>
          <w:p w:rsidR="000E6D81" w:rsidRPr="00782027" w:rsidRDefault="000E6D81" w:rsidP="0064166D">
            <w:pPr>
              <w:jc w:val="center"/>
              <w:rPr>
                <w:rFonts w:ascii="Calibri" w:eastAsia="Calibri" w:hAnsi="Calibri" w:cs="Calibri"/>
                <w:b/>
                <w:bCs/>
                <w:sz w:val="18"/>
                <w:szCs w:val="18"/>
              </w:rPr>
            </w:pPr>
            <w:r>
              <w:rPr>
                <w:rFonts w:ascii="Calibri" w:hAnsi="Calibri"/>
                <w:b/>
                <w:bCs/>
                <w:sz w:val="18"/>
                <w:szCs w:val="18"/>
              </w:rPr>
              <w:t>puncte</w:t>
            </w:r>
          </w:p>
        </w:tc>
      </w:tr>
      <w:tr w:rsidR="000E6D81" w:rsidTr="0064166D">
        <w:trPr>
          <w:trHeight w:val="834"/>
        </w:trPr>
        <w:tc>
          <w:tcPr>
            <w:tcW w:w="2981" w:type="dxa"/>
            <w:vAlign w:val="center"/>
          </w:tcPr>
          <w:p w:rsidR="000E6D81" w:rsidRPr="00580BB6" w:rsidRDefault="000E6D81" w:rsidP="0064166D">
            <w:pPr>
              <w:rPr>
                <w:rFonts w:asciiTheme="minorHAnsi" w:hAnsiTheme="minorHAnsi" w:cs="Arial"/>
                <w:sz w:val="18"/>
                <w:szCs w:val="18"/>
              </w:rPr>
            </w:pPr>
            <w:r>
              <w:rPr>
                <w:rFonts w:asciiTheme="minorHAnsi" w:hAnsiTheme="minorHAnsi"/>
                <w:sz w:val="18"/>
                <w:szCs w:val="18"/>
              </w:rPr>
              <w:t>Asociaţia Centrului pentru tineri "Ana &amp; Bastian"</w:t>
            </w:r>
          </w:p>
        </w:tc>
        <w:tc>
          <w:tcPr>
            <w:tcW w:w="1885" w:type="dxa"/>
            <w:vAlign w:val="center"/>
          </w:tcPr>
          <w:p w:rsidR="000E6D81" w:rsidRPr="00782027" w:rsidRDefault="000E6D81" w:rsidP="0064166D">
            <w:pPr>
              <w:rPr>
                <w:rFonts w:asciiTheme="minorHAnsi" w:hAnsiTheme="minorHAnsi" w:cs="Arial"/>
                <w:sz w:val="18"/>
                <w:szCs w:val="18"/>
              </w:rPr>
            </w:pPr>
            <w:r>
              <w:rPr>
                <w:rFonts w:asciiTheme="minorHAnsi" w:hAnsiTheme="minorHAnsi"/>
                <w:sz w:val="18"/>
                <w:szCs w:val="18"/>
              </w:rPr>
              <w:t>Kanjiža</w:t>
            </w:r>
          </w:p>
        </w:tc>
        <w:tc>
          <w:tcPr>
            <w:tcW w:w="1459" w:type="dxa"/>
            <w:vAlign w:val="center"/>
          </w:tcPr>
          <w:p w:rsidR="000E6D81" w:rsidRPr="00782027" w:rsidRDefault="000E6D81" w:rsidP="0064166D">
            <w:pPr>
              <w:jc w:val="right"/>
              <w:rPr>
                <w:rFonts w:asciiTheme="minorHAnsi" w:hAnsiTheme="minorHAnsi" w:cs="Arial"/>
                <w:sz w:val="18"/>
                <w:szCs w:val="18"/>
              </w:rPr>
            </w:pPr>
            <w:r>
              <w:rPr>
                <w:rFonts w:asciiTheme="minorHAnsi" w:hAnsiTheme="minorHAnsi"/>
                <w:sz w:val="18"/>
                <w:szCs w:val="18"/>
              </w:rPr>
              <w:t>2.500.000,00</w:t>
            </w:r>
          </w:p>
        </w:tc>
        <w:tc>
          <w:tcPr>
            <w:tcW w:w="2556" w:type="dxa"/>
            <w:vAlign w:val="center"/>
          </w:tcPr>
          <w:p w:rsidR="000E6D81" w:rsidRPr="002560C9" w:rsidRDefault="000E6D81" w:rsidP="0064166D">
            <w:pPr>
              <w:rPr>
                <w:rFonts w:asciiTheme="minorHAnsi" w:hAnsiTheme="minorHAnsi" w:cs="Arial"/>
                <w:sz w:val="18"/>
                <w:szCs w:val="18"/>
              </w:rPr>
            </w:pPr>
            <w:r>
              <w:rPr>
                <w:rFonts w:asciiTheme="minorHAnsi" w:hAnsiTheme="minorHAnsi"/>
                <w:sz w:val="18"/>
                <w:szCs w:val="18"/>
              </w:rPr>
              <w:t>128-90-1093/2022-05</w:t>
            </w:r>
          </w:p>
        </w:tc>
        <w:tc>
          <w:tcPr>
            <w:tcW w:w="1066" w:type="dxa"/>
            <w:vAlign w:val="center"/>
          </w:tcPr>
          <w:p w:rsidR="000E6D81" w:rsidRPr="00782027" w:rsidRDefault="000E6D81" w:rsidP="0064166D">
            <w:pPr>
              <w:jc w:val="center"/>
              <w:rPr>
                <w:rFonts w:asciiTheme="minorHAnsi" w:hAnsiTheme="minorHAnsi" w:cs="Arial"/>
                <w:sz w:val="18"/>
                <w:szCs w:val="18"/>
              </w:rPr>
            </w:pPr>
            <w:r>
              <w:rPr>
                <w:rFonts w:asciiTheme="minorHAnsi" w:hAnsiTheme="minorHAnsi"/>
                <w:sz w:val="18"/>
                <w:szCs w:val="18"/>
              </w:rPr>
              <w:t>28</w:t>
            </w:r>
          </w:p>
        </w:tc>
      </w:tr>
    </w:tbl>
    <w:p w:rsidR="00370053" w:rsidRDefault="00370053" w:rsidP="002B5C59">
      <w:pPr>
        <w:rPr>
          <w:rFonts w:asciiTheme="minorHAnsi" w:hAnsiTheme="minorHAnsi"/>
          <w:b/>
          <w:noProof/>
          <w:sz w:val="20"/>
          <w:szCs w:val="20"/>
        </w:rPr>
      </w:pPr>
    </w:p>
    <w:p w:rsidR="005175D5" w:rsidRDefault="00F23D64" w:rsidP="0056396F">
      <w:pPr>
        <w:jc w:val="center"/>
        <w:rPr>
          <w:rFonts w:asciiTheme="minorHAnsi" w:hAnsiTheme="minorHAnsi"/>
          <w:b/>
          <w:noProof/>
          <w:sz w:val="20"/>
          <w:szCs w:val="20"/>
        </w:rPr>
      </w:pPr>
      <w:r>
        <w:rPr>
          <w:rFonts w:asciiTheme="minorHAnsi" w:hAnsiTheme="minorHAnsi"/>
          <w:b/>
          <w:sz w:val="20"/>
          <w:szCs w:val="20"/>
        </w:rPr>
        <w:t>II</w:t>
      </w:r>
    </w:p>
    <w:p w:rsidR="009E3004" w:rsidRDefault="00F23D64" w:rsidP="009E3004">
      <w:pPr>
        <w:ind w:firstLine="709"/>
        <w:jc w:val="both"/>
        <w:rPr>
          <w:rFonts w:asciiTheme="minorHAnsi" w:hAnsiTheme="minorHAnsi"/>
          <w:noProof/>
          <w:sz w:val="22"/>
          <w:szCs w:val="22"/>
        </w:rPr>
      </w:pPr>
      <w:r>
        <w:rPr>
          <w:rFonts w:asciiTheme="minorHAnsi" w:hAnsiTheme="minorHAnsi"/>
          <w:sz w:val="22"/>
          <w:szCs w:val="22"/>
        </w:rPr>
        <w:t>Prezenta decizie privind alegerea programelor/proiectelor va fi publicată pe pagina oficială de internet a Secretariatului Provincial.</w:t>
      </w:r>
    </w:p>
    <w:p w:rsidR="0056396F" w:rsidRDefault="00F23D64" w:rsidP="009E3004">
      <w:pPr>
        <w:jc w:val="center"/>
        <w:rPr>
          <w:rFonts w:asciiTheme="minorHAnsi" w:hAnsiTheme="minorHAnsi"/>
          <w:b/>
          <w:noProof/>
          <w:sz w:val="22"/>
          <w:szCs w:val="22"/>
        </w:rPr>
      </w:pPr>
      <w:r>
        <w:rPr>
          <w:rFonts w:asciiTheme="minorHAnsi" w:hAnsiTheme="minorHAnsi"/>
          <w:b/>
          <w:sz w:val="22"/>
          <w:szCs w:val="22"/>
        </w:rPr>
        <w:t>Expunerea de motive:</w:t>
      </w:r>
    </w:p>
    <w:p w:rsidR="009E3004" w:rsidRPr="006D4672" w:rsidRDefault="009E3004" w:rsidP="009E3004">
      <w:pPr>
        <w:ind w:firstLine="709"/>
        <w:jc w:val="center"/>
        <w:rPr>
          <w:rFonts w:asciiTheme="minorHAnsi" w:hAnsiTheme="minorHAnsi"/>
          <w:b/>
          <w:noProof/>
          <w:sz w:val="22"/>
          <w:szCs w:val="22"/>
          <w:lang w:val="sr-Cyrl-CS"/>
        </w:rPr>
      </w:pPr>
    </w:p>
    <w:p w:rsidR="003C629D" w:rsidRPr="006D4672" w:rsidRDefault="003C629D" w:rsidP="00466F11">
      <w:pPr>
        <w:ind w:firstLine="708"/>
        <w:jc w:val="both"/>
        <w:rPr>
          <w:rFonts w:asciiTheme="minorHAnsi" w:hAnsiTheme="minorHAnsi" w:cs="Arial"/>
          <w:bCs/>
          <w:noProof/>
          <w:sz w:val="22"/>
          <w:szCs w:val="22"/>
        </w:rPr>
      </w:pPr>
      <w:r>
        <w:rPr>
          <w:rFonts w:asciiTheme="minorHAnsi" w:hAnsiTheme="minorHAnsi"/>
          <w:bCs/>
          <w:sz w:val="22"/>
          <w:szCs w:val="22"/>
        </w:rPr>
        <w:t>În baza articolului 11, raportat la articolul 24 și 26 din Hotărârea Adunării Provinciei privind bugetul Provinciei Autonome Voivodina pentru anul 2022 („Buletinul oficial al P.A.V.”, nr. 54/2021 şi 7/2022-reechilibrare) şi art. 7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09.05.2022, a publicat Concursul public pentru organizarea taberei educativ-recreative pentru elevii şcolilor medii, sub numărul 128-90-1092/2022-5.</w:t>
      </w:r>
    </w:p>
    <w:p w:rsidR="00981301" w:rsidRPr="006D4672" w:rsidRDefault="00981301" w:rsidP="00AD36DB">
      <w:pPr>
        <w:ind w:firstLine="708"/>
        <w:jc w:val="both"/>
        <w:rPr>
          <w:rFonts w:asciiTheme="minorHAnsi" w:hAnsiTheme="minorHAnsi" w:cs="Arial"/>
          <w:bCs/>
          <w:noProof/>
          <w:sz w:val="22"/>
          <w:szCs w:val="22"/>
        </w:rPr>
      </w:pPr>
      <w:r>
        <w:rPr>
          <w:rFonts w:asciiTheme="minorHAnsi" w:hAnsiTheme="minorHAnsi"/>
          <w:bCs/>
          <w:sz w:val="22"/>
          <w:szCs w:val="22"/>
        </w:rP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w:t>
      </w:r>
      <w:r>
        <w:rPr>
          <w:rFonts w:asciiTheme="minorHAnsi" w:hAnsiTheme="minorHAnsi"/>
          <w:bCs/>
          <w:sz w:val="22"/>
          <w:szCs w:val="22"/>
        </w:rPr>
        <w:lastRenderedPageBreak/>
        <w:t>poziţiei minorităţilor naţionale - comunităţilor naţionale şi dezvoltarea multiculturalismului şi toleranţei pe teritoriul Provinciei Autonome Voivodina.</w:t>
      </w:r>
    </w:p>
    <w:p w:rsidR="00696613" w:rsidRPr="00866F05" w:rsidRDefault="00F23D64" w:rsidP="00ED7D0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5B20FA" w:rsidRPr="006D4672" w:rsidRDefault="00F23D64" w:rsidP="00ED7D0E">
      <w:pPr>
        <w:ind w:firstLine="708"/>
        <w:jc w:val="both"/>
        <w:rPr>
          <w:rFonts w:asciiTheme="minorHAnsi" w:hAnsiTheme="minorHAnsi"/>
          <w:noProof/>
          <w:sz w:val="22"/>
          <w:szCs w:val="22"/>
        </w:rPr>
      </w:pPr>
      <w:r>
        <w:rPr>
          <w:rFonts w:asciiTheme="minorHAnsi" w:hAnsiTheme="minorHAnsi"/>
          <w:sz w:val="22"/>
          <w:szCs w:val="22"/>
        </w:rPr>
        <w:t>În baza concursului realizat în conformitate cu articolele 24 și 26 din Hotărârea Adunării Provinciei privind bugetul Provinciei Autonome Voivodina pentru anul 2022 („Buletinul oficial al P.A.V.”, nr. 54/2021 şi 7/2022-reechilibrare) și în baza volumului de mijloace asigurate pentru destinațiile menționate, stabilite la articolull 11 din aceeași hotărâre, se efectuează repartizarea mijloacelor conform cererilor sosite la concurs</w:t>
      </w:r>
    </w:p>
    <w:p w:rsidR="00ED7D0E" w:rsidRPr="006D4672" w:rsidRDefault="00ED7D0E" w:rsidP="00ED7D0E">
      <w:pPr>
        <w:ind w:firstLine="708"/>
        <w:jc w:val="both"/>
        <w:rPr>
          <w:rFonts w:asciiTheme="minorHAnsi" w:hAnsiTheme="minorHAnsi"/>
          <w:noProof/>
          <w:sz w:val="22"/>
          <w:szCs w:val="22"/>
        </w:rPr>
      </w:pPr>
      <w:r>
        <w:rPr>
          <w:rFonts w:asciiTheme="minorHAnsi" w:hAnsiTheme="minorHAnsi"/>
          <w:sz w:val="22"/>
          <w:szCs w:val="22"/>
        </w:rPr>
        <w:t>Prin articolul 15 din Hotărârea Adunării Provinciei privind administraţia provincială („Buletinul oficial al P.A.V.“ nr.</w:t>
      </w:r>
      <w:r>
        <w:rPr>
          <w:rFonts w:asciiTheme="minorHAnsi" w:hAnsiTheme="minorHAnsi"/>
          <w:bCs/>
          <w:sz w:val="22"/>
          <w:szCs w:val="22"/>
        </w:rPr>
        <w:t xml:space="preserve"> 37/2014, 54/2014 – altă reglementare, 37/2016 , 29/2017 , 24/2019, 66/2020 și 38/2021)</w:t>
      </w:r>
      <w:r>
        <w:rPr>
          <w:rFonts w:asciiTheme="minorHAnsi" w:hAnsiTheme="minorHAnsi"/>
          <w:sz w:val="22"/>
          <w:szCs w:val="22"/>
        </w:rPr>
        <w:t xml:space="preserve">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8D1BF1" w:rsidRDefault="005B6D5B" w:rsidP="000B7853">
      <w:pPr>
        <w:ind w:firstLine="708"/>
        <w:jc w:val="both"/>
        <w:rPr>
          <w:rFonts w:asciiTheme="minorHAnsi" w:hAnsiTheme="minorHAnsi"/>
          <w:noProof/>
          <w:sz w:val="22"/>
          <w:szCs w:val="22"/>
        </w:rPr>
      </w:pPr>
      <w:r>
        <w:rPr>
          <w:rFonts w:asciiTheme="minorHAnsi" w:hAnsiTheme="minorHAnsi"/>
          <w:bCs/>
          <w:sz w:val="22"/>
          <w:szCs w:val="22"/>
        </w:rPr>
        <w:t xml:space="preserve">Comisia de concurs pentru desfăşurarea procedurii de repartizare a mijloacelor bugetare în baza Concursului public pentru organizarea taberei educativ-recreative pentru elevii şcolilor medii, este înfiinţată prin decizia nr. 128-401-5605/2022-05 din 24.05.2022 Comisia s-a întrunit  pe data de 30.05.2022 şi în urma examinării şi evaluării cererilor depuse, a stabilit lista evaluării, punctajul şi clasamentul  semnatarilor cererilor prezentate care a fost publicată pe pagina de internet a Secretariatului Provincial în data de 30.05.2022. Participanții la concurs au avut drept la recurs împotriva evaluării și clasificării programelor/proiectelor anunţate, în termen de 8 zile de la data publicării acesteia. </w:t>
      </w:r>
      <w:r>
        <w:rPr>
          <w:rFonts w:asciiTheme="minorHAnsi" w:hAnsiTheme="minorHAnsi"/>
          <w:sz w:val="22"/>
          <w:szCs w:val="22"/>
        </w:rPr>
        <w:t>În urma expirării termenului de prezentare a recursului, Comisia de concurs a trimis propunerea către secretarul provincial pentru emiterea deciziei definitive cu privire la repartizarea mijloacelor conform Concursului public pentru organizarea taberei educativ-recreative pentru elevii şcolilor medii.</w:t>
      </w:r>
    </w:p>
    <w:p w:rsidR="0056396F" w:rsidRPr="006D4672" w:rsidRDefault="00F23D64" w:rsidP="000B7853">
      <w:pPr>
        <w:ind w:firstLine="708"/>
        <w:jc w:val="both"/>
        <w:rPr>
          <w:rFonts w:asciiTheme="minorHAnsi" w:hAnsiTheme="minorHAnsi"/>
          <w:noProof/>
          <w:sz w:val="22"/>
          <w:szCs w:val="22"/>
        </w:rPr>
      </w:pPr>
      <w:r>
        <w:rPr>
          <w:rFonts w:asciiTheme="minorHAnsi" w:hAnsiTheme="minorHAnsi"/>
          <w:sz w:val="22"/>
          <w:szCs w:val="22"/>
        </w:rPr>
        <w:t>În conformitate cu cele menționate, raportat la articolul 11</w:t>
      </w:r>
      <w:r>
        <w:rPr>
          <w:rFonts w:asciiTheme="minorHAnsi" w:hAnsiTheme="minorHAnsi"/>
          <w:bCs/>
          <w:sz w:val="22"/>
          <w:szCs w:val="22"/>
        </w:rPr>
        <w:t xml:space="preserve"> </w:t>
      </w:r>
      <w:r>
        <w:rPr>
          <w:rFonts w:asciiTheme="minorHAnsi" w:hAnsiTheme="minorHAnsi"/>
          <w:sz w:val="22"/>
          <w:szCs w:val="22"/>
        </w:rPr>
        <w:t>din Hotărârea Adunării Provinciei privind repartizarea mijloacelor bugetare pentru avansarea statutului minorităţilor naţionale - comunităţilor naţionale şi dezvoltarea multiculturalismului şi toleranţei ("Buletinul oficial al PAV", numărul 8/2019), la propunerea Comisiei de concurs care desfăşoară procedura de repartizare a mijloacelor bugetare în baza Concursului public pentru organizarea taberei educativ-recreative pentru elevii şcolilor medii, secretarul provincial pentru educaţie, reglementări, administraţie şi minorităţile naţionale - comunităţile naţionale, a emis decizia precum în dispozitiv.</w:t>
      </w:r>
    </w:p>
    <w:p w:rsidR="00F36FE4" w:rsidRPr="006D4672" w:rsidRDefault="00F36FE4" w:rsidP="000B7853">
      <w:pPr>
        <w:ind w:firstLine="708"/>
        <w:jc w:val="both"/>
        <w:rPr>
          <w:rFonts w:asciiTheme="minorHAnsi" w:hAnsiTheme="minorHAnsi"/>
          <w:bCs/>
          <w:noProof/>
          <w:sz w:val="22"/>
          <w:szCs w:val="22"/>
          <w:lang w:val="sr-Latn-RS"/>
        </w:rPr>
      </w:pPr>
    </w:p>
    <w:p w:rsidR="004C487B" w:rsidRPr="006D4672" w:rsidRDefault="004C487B" w:rsidP="004C487B">
      <w:pPr>
        <w:ind w:firstLine="708"/>
        <w:jc w:val="both"/>
        <w:rPr>
          <w:rFonts w:asciiTheme="minorHAnsi" w:hAnsiTheme="minorHAnsi"/>
          <w:noProof/>
          <w:sz w:val="22"/>
          <w:szCs w:val="22"/>
        </w:rPr>
      </w:pPr>
      <w:r>
        <w:rPr>
          <w:rFonts w:asciiTheme="minorHAnsi" w:hAnsiTheme="minorHAnsi"/>
          <w:sz w:val="22"/>
          <w:szCs w:val="22"/>
        </w:rPr>
        <w:t>Prezenta decizie este definitivă.</w:t>
      </w:r>
    </w:p>
    <w:p w:rsidR="0056396F" w:rsidRPr="006D4672" w:rsidRDefault="0056396F" w:rsidP="00AD36DB">
      <w:pPr>
        <w:tabs>
          <w:tab w:val="left" w:pos="3960"/>
        </w:tabs>
        <w:jc w:val="both"/>
        <w:rPr>
          <w:rFonts w:asciiTheme="minorHAnsi" w:hAnsiTheme="minorHAnsi"/>
          <w:noProof/>
          <w:sz w:val="22"/>
          <w:szCs w:val="22"/>
          <w:lang w:val="sr-Cyrl-RS"/>
        </w:rPr>
      </w:pPr>
    </w:p>
    <w:p w:rsidR="00D0326D" w:rsidRPr="00D0326D" w:rsidRDefault="00D0326D" w:rsidP="00D0326D">
      <w:pPr>
        <w:tabs>
          <w:tab w:val="center" w:pos="7088"/>
        </w:tabs>
        <w:jc w:val="both"/>
        <w:rPr>
          <w:rFonts w:ascii="Calibri" w:hAnsi="Calibri"/>
          <w:sz w:val="22"/>
          <w:szCs w:val="20"/>
        </w:rPr>
      </w:pPr>
      <w:r>
        <w:rPr>
          <w:rFonts w:ascii="Calibri" w:hAnsi="Calibri"/>
          <w:sz w:val="22"/>
          <w:szCs w:val="20"/>
        </w:rPr>
        <w:tab/>
        <w:t>Secretarul provincial</w:t>
      </w:r>
    </w:p>
    <w:p w:rsidR="00D0326D" w:rsidRPr="00D0326D" w:rsidRDefault="00D0326D" w:rsidP="00D0326D">
      <w:pPr>
        <w:tabs>
          <w:tab w:val="center" w:pos="7088"/>
        </w:tabs>
        <w:jc w:val="both"/>
        <w:rPr>
          <w:rFonts w:ascii="Calibri" w:hAnsi="Calibri"/>
          <w:sz w:val="22"/>
          <w:szCs w:val="20"/>
          <w:lang w:val="sr-Cyrl-RS"/>
        </w:rPr>
      </w:pPr>
    </w:p>
    <w:p w:rsidR="00D0326D" w:rsidRPr="00D0326D" w:rsidRDefault="00D0326D" w:rsidP="00D0326D">
      <w:pPr>
        <w:tabs>
          <w:tab w:val="center" w:pos="7088"/>
        </w:tabs>
        <w:jc w:val="both"/>
        <w:rPr>
          <w:rFonts w:ascii="Calibri" w:hAnsi="Calibri"/>
          <w:sz w:val="22"/>
          <w:szCs w:val="20"/>
          <w:lang w:val="sr-Cyrl-RS"/>
        </w:rPr>
      </w:pPr>
    </w:p>
    <w:p w:rsidR="00F870FF" w:rsidRPr="00D0326D" w:rsidRDefault="00D0326D" w:rsidP="00D0326D">
      <w:pPr>
        <w:tabs>
          <w:tab w:val="center" w:pos="7088"/>
        </w:tabs>
        <w:jc w:val="both"/>
        <w:rPr>
          <w:rFonts w:ascii="Calibri" w:hAnsi="Calibri"/>
          <w:sz w:val="22"/>
          <w:szCs w:val="20"/>
        </w:rPr>
      </w:pPr>
      <w:r>
        <w:rPr>
          <w:rFonts w:ascii="Calibri" w:hAnsi="Calibri"/>
          <w:sz w:val="22"/>
          <w:szCs w:val="20"/>
        </w:rPr>
        <w:tab/>
        <w:t>Szakállas Zsolt</w:t>
      </w:r>
      <w:bookmarkStart w:id="0" w:name="_GoBack"/>
      <w:bookmarkEnd w:id="0"/>
    </w:p>
    <w:sectPr w:rsidR="00F870FF" w:rsidRPr="00D0326D" w:rsidSect="009E300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034A7"/>
    <w:rsid w:val="00031B7A"/>
    <w:rsid w:val="00033AB4"/>
    <w:rsid w:val="00035B3E"/>
    <w:rsid w:val="00040398"/>
    <w:rsid w:val="00061363"/>
    <w:rsid w:val="000B43F0"/>
    <w:rsid w:val="000B7853"/>
    <w:rsid w:val="000C31BF"/>
    <w:rsid w:val="000D1A62"/>
    <w:rsid w:val="000E08B8"/>
    <w:rsid w:val="000E6D81"/>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0E28"/>
    <w:rsid w:val="002621B8"/>
    <w:rsid w:val="002B380B"/>
    <w:rsid w:val="002B5C59"/>
    <w:rsid w:val="002E7BD9"/>
    <w:rsid w:val="002F4C3C"/>
    <w:rsid w:val="00303DDC"/>
    <w:rsid w:val="0031070D"/>
    <w:rsid w:val="00310FEE"/>
    <w:rsid w:val="00370053"/>
    <w:rsid w:val="0039448E"/>
    <w:rsid w:val="003A1A21"/>
    <w:rsid w:val="003A3641"/>
    <w:rsid w:val="003C2EFA"/>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148B"/>
    <w:rsid w:val="00543D7B"/>
    <w:rsid w:val="0055036E"/>
    <w:rsid w:val="0056396F"/>
    <w:rsid w:val="00566487"/>
    <w:rsid w:val="0057715C"/>
    <w:rsid w:val="00577AF4"/>
    <w:rsid w:val="00594C72"/>
    <w:rsid w:val="00595516"/>
    <w:rsid w:val="005B0763"/>
    <w:rsid w:val="005B20FA"/>
    <w:rsid w:val="005B6D5B"/>
    <w:rsid w:val="005D2CDA"/>
    <w:rsid w:val="005E4003"/>
    <w:rsid w:val="005E6A1F"/>
    <w:rsid w:val="00600A3D"/>
    <w:rsid w:val="006050B9"/>
    <w:rsid w:val="006405F9"/>
    <w:rsid w:val="00651356"/>
    <w:rsid w:val="00696613"/>
    <w:rsid w:val="006A0F02"/>
    <w:rsid w:val="006C125E"/>
    <w:rsid w:val="006D4672"/>
    <w:rsid w:val="006F0B65"/>
    <w:rsid w:val="00701FBF"/>
    <w:rsid w:val="00791F4B"/>
    <w:rsid w:val="007D6CF8"/>
    <w:rsid w:val="007E223F"/>
    <w:rsid w:val="00814F58"/>
    <w:rsid w:val="00853ADD"/>
    <w:rsid w:val="0085745D"/>
    <w:rsid w:val="008627DA"/>
    <w:rsid w:val="00866195"/>
    <w:rsid w:val="00866F05"/>
    <w:rsid w:val="0088361D"/>
    <w:rsid w:val="008C424C"/>
    <w:rsid w:val="008C6BA4"/>
    <w:rsid w:val="008D1BF1"/>
    <w:rsid w:val="00913E00"/>
    <w:rsid w:val="00925AE1"/>
    <w:rsid w:val="00947058"/>
    <w:rsid w:val="00951D19"/>
    <w:rsid w:val="00955490"/>
    <w:rsid w:val="00981301"/>
    <w:rsid w:val="0099098A"/>
    <w:rsid w:val="009B1AD2"/>
    <w:rsid w:val="009D20A0"/>
    <w:rsid w:val="009D3CB2"/>
    <w:rsid w:val="009E2697"/>
    <w:rsid w:val="009E3004"/>
    <w:rsid w:val="009E5B71"/>
    <w:rsid w:val="00A47415"/>
    <w:rsid w:val="00A90116"/>
    <w:rsid w:val="00AC6349"/>
    <w:rsid w:val="00AC76CC"/>
    <w:rsid w:val="00AD36DB"/>
    <w:rsid w:val="00B24CC2"/>
    <w:rsid w:val="00B40C38"/>
    <w:rsid w:val="00B44DC9"/>
    <w:rsid w:val="00B56150"/>
    <w:rsid w:val="00B56AE4"/>
    <w:rsid w:val="00B81707"/>
    <w:rsid w:val="00BB7FB7"/>
    <w:rsid w:val="00BC5505"/>
    <w:rsid w:val="00BE61DE"/>
    <w:rsid w:val="00BF5D56"/>
    <w:rsid w:val="00C11598"/>
    <w:rsid w:val="00C3373F"/>
    <w:rsid w:val="00C3606B"/>
    <w:rsid w:val="00C42F6B"/>
    <w:rsid w:val="00C51D82"/>
    <w:rsid w:val="00C87B97"/>
    <w:rsid w:val="00CA37A0"/>
    <w:rsid w:val="00CC569A"/>
    <w:rsid w:val="00CF1192"/>
    <w:rsid w:val="00D0326D"/>
    <w:rsid w:val="00D118A7"/>
    <w:rsid w:val="00D23F14"/>
    <w:rsid w:val="00D37EBE"/>
    <w:rsid w:val="00D77669"/>
    <w:rsid w:val="00D87FA1"/>
    <w:rsid w:val="00D95CC8"/>
    <w:rsid w:val="00E0051A"/>
    <w:rsid w:val="00E11C89"/>
    <w:rsid w:val="00E32B51"/>
    <w:rsid w:val="00E62E02"/>
    <w:rsid w:val="00E8137A"/>
    <w:rsid w:val="00ED385D"/>
    <w:rsid w:val="00ED7D0E"/>
    <w:rsid w:val="00F062D9"/>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DFC7-AC48-473F-B762-77E2E3E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5</cp:revision>
  <cp:lastPrinted>2022-06-03T06:25:00Z</cp:lastPrinted>
  <dcterms:created xsi:type="dcterms:W3CDTF">2022-06-09T08:23:00Z</dcterms:created>
  <dcterms:modified xsi:type="dcterms:W3CDTF">2022-06-09T09:19:00Z</dcterms:modified>
</cp:coreProperties>
</file>