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36" w:rsidRPr="00917AB9" w:rsidRDefault="00A15236">
      <w:pPr>
        <w:spacing w:before="2"/>
        <w:rPr>
          <w:rFonts w:eastAsia="Times New Roman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 xml:space="preserve">Na temelju članka 10.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14/15) i članka 16. stavka 2. Pokrajinske skupštinske odluke o pokrajinskoj upravi („Službeni list APV”, broj: 37/14, 54/14 </w:t>
      </w:r>
      <w:r w:rsidR="00917AB9">
        <w:rPr>
          <w:rFonts w:asciiTheme="minorHAnsi" w:hAnsiTheme="minorHAnsi" w:cstheme="minorHAnsi"/>
        </w:rPr>
        <w:t>–</w:t>
      </w:r>
      <w:r w:rsidRPr="00917AB9">
        <w:rPr>
          <w:rFonts w:asciiTheme="minorHAnsi" w:hAnsiTheme="minorHAnsi" w:cstheme="minorHAnsi"/>
        </w:rPr>
        <w:t xml:space="preserve"> dr. odluka, 37/2016 i 37/16), pokrajinski tajnik za obrazovanje, propise, upravu i nacionalne manjine </w:t>
      </w:r>
      <w:r w:rsidR="00917AB9">
        <w:rPr>
          <w:rFonts w:asciiTheme="minorHAnsi" w:hAnsiTheme="minorHAnsi" w:cstheme="minorHAnsi"/>
        </w:rPr>
        <w:t>–</w:t>
      </w:r>
      <w:r w:rsidRPr="00917AB9">
        <w:rPr>
          <w:rFonts w:asciiTheme="minorHAnsi" w:hAnsiTheme="minorHAnsi" w:cstheme="minorHAnsi"/>
        </w:rPr>
        <w:t xml:space="preserve"> nacionalne zajednice   d o n o s i</w:t>
      </w:r>
    </w:p>
    <w:p w:rsidR="00A15236" w:rsidRPr="00917AB9" w:rsidRDefault="00A15236">
      <w:pPr>
        <w:spacing w:before="4"/>
        <w:rPr>
          <w:rFonts w:eastAsia="Calibri" w:cstheme="minorHAnsi"/>
          <w:sz w:val="20"/>
          <w:szCs w:val="20"/>
        </w:rPr>
      </w:pPr>
    </w:p>
    <w:p w:rsidR="00917AB9" w:rsidRPr="00917AB9" w:rsidRDefault="00FF2029" w:rsidP="00917AB9">
      <w:pPr>
        <w:spacing w:line="242" w:lineRule="auto"/>
        <w:ind w:right="1"/>
        <w:jc w:val="center"/>
        <w:rPr>
          <w:rFonts w:cstheme="minorHAnsi"/>
          <w:b/>
          <w:sz w:val="20"/>
          <w:szCs w:val="20"/>
        </w:rPr>
      </w:pPr>
      <w:r w:rsidRPr="00917AB9">
        <w:rPr>
          <w:rFonts w:cstheme="minorHAnsi"/>
          <w:b/>
          <w:sz w:val="20"/>
          <w:szCs w:val="20"/>
        </w:rPr>
        <w:t>PRAVILNIK</w:t>
      </w:r>
    </w:p>
    <w:p w:rsidR="00A15236" w:rsidRPr="00917AB9" w:rsidRDefault="00FF2029" w:rsidP="00917AB9">
      <w:pPr>
        <w:spacing w:line="242" w:lineRule="auto"/>
        <w:ind w:right="1"/>
        <w:jc w:val="center"/>
        <w:rPr>
          <w:rFonts w:eastAsia="Calibri" w:cstheme="minorHAnsi"/>
          <w:b/>
          <w:sz w:val="20"/>
          <w:szCs w:val="20"/>
        </w:rPr>
      </w:pPr>
      <w:r w:rsidRPr="00917AB9">
        <w:rPr>
          <w:rFonts w:cstheme="minorHAnsi"/>
          <w:b/>
          <w:sz w:val="20"/>
          <w:szCs w:val="20"/>
        </w:rPr>
        <w:t xml:space="preserve"> O DODJELI PRORAČUNSKIH SREDSTAVA  POKRAJINSKOG TAJNIŠTVA ZA OBRAZOVANJE, PROPISE, UPRAVU, NACIONALNE MANJINE </w:t>
      </w:r>
      <w:r w:rsidR="00917AB9">
        <w:rPr>
          <w:rFonts w:cstheme="minorHAnsi"/>
          <w:b/>
          <w:sz w:val="20"/>
          <w:szCs w:val="20"/>
        </w:rPr>
        <w:t>–</w:t>
      </w:r>
      <w:r w:rsidRPr="00917AB9">
        <w:rPr>
          <w:rFonts w:cstheme="minorHAnsi"/>
          <w:b/>
          <w:sz w:val="20"/>
          <w:szCs w:val="20"/>
        </w:rPr>
        <w:t xml:space="preserve"> NACIONALNE ZAJEDNICE ZA FINANCIRANJE I SUFINANCIRANJE MODERNIZACIJE INFRASTRUKTRE USTAHOVA OSNOVNOG I SREDNJEG OBRAZOVANJA  I ODGOJA I UČENIČKOG STANDARDA NA TERITORIJU AP VOJVODINE</w:t>
      </w:r>
    </w:p>
    <w:p w:rsidR="00A15236" w:rsidRPr="00917AB9" w:rsidRDefault="00A15236">
      <w:pPr>
        <w:spacing w:before="7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1.</w:t>
      </w:r>
    </w:p>
    <w:p w:rsidR="00A15236" w:rsidRPr="00917AB9" w:rsidRDefault="00A15236">
      <w:pPr>
        <w:spacing w:before="9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Ovim pravilnikom se uređuje način, uvjeti i kriteriji dodjele proračunskih sredstava ustanovama osnovnog i srednjeg obrazovanja i odgoja i učeničkog standarda na teritoriju AP Vojvodine za financiranje i sufinanciranje modernizacije  infrastrukture ustanova osnovnog i srednjeg obrazovanja i odgoja i učeni</w:t>
      </w:r>
      <w:r w:rsidR="00917AB9">
        <w:rPr>
          <w:rFonts w:asciiTheme="minorHAnsi" w:hAnsiTheme="minorHAnsi" w:cstheme="minorHAnsi"/>
        </w:rPr>
        <w:t>čkog standarda na teritoriju AP</w:t>
      </w:r>
      <w:r w:rsidRPr="00917AB9">
        <w:rPr>
          <w:rFonts w:asciiTheme="minorHAnsi" w:hAnsiTheme="minorHAnsi" w:cstheme="minorHAnsi"/>
        </w:rPr>
        <w:t xml:space="preserve"> Vojvodine u skladu s </w:t>
      </w:r>
      <w:proofErr w:type="spellStart"/>
      <w:r w:rsidRPr="00917AB9">
        <w:rPr>
          <w:rFonts w:asciiTheme="minorHAnsi" w:hAnsiTheme="minorHAnsi" w:cstheme="minorHAnsi"/>
        </w:rPr>
        <w:t>aproprijacijama</w:t>
      </w:r>
      <w:proofErr w:type="spellEnd"/>
      <w:r w:rsidRPr="00917AB9">
        <w:rPr>
          <w:rFonts w:asciiTheme="minorHAnsi" w:hAnsiTheme="minorHAnsi" w:cstheme="minorHAnsi"/>
        </w:rPr>
        <w:t xml:space="preserve"> odobrenim Odlukom </w:t>
      </w:r>
      <w:r w:rsidR="00917AB9">
        <w:rPr>
          <w:rFonts w:asciiTheme="minorHAnsi" w:hAnsiTheme="minorHAnsi" w:cstheme="minorHAnsi"/>
        </w:rPr>
        <w:t>o proračunu Autonomne Pokrajine</w:t>
      </w:r>
      <w:r w:rsidRPr="00917AB9">
        <w:rPr>
          <w:rFonts w:asciiTheme="minorHAnsi" w:hAnsiTheme="minorHAnsi" w:cstheme="minorHAnsi"/>
        </w:rPr>
        <w:t xml:space="preserve"> Vojvodine u okviru posebnog razdjela Pokrajinskog  tajništva za obrazovanje, propise, upravu i nacionalne manjine </w:t>
      </w:r>
      <w:r w:rsidR="00917AB9">
        <w:rPr>
          <w:rFonts w:asciiTheme="minorHAnsi" w:hAnsiTheme="minorHAnsi" w:cstheme="minorHAnsi"/>
        </w:rPr>
        <w:t>–</w:t>
      </w:r>
      <w:r w:rsidRPr="00917AB9">
        <w:rPr>
          <w:rFonts w:asciiTheme="minorHAnsi" w:hAnsiTheme="minorHAnsi" w:cstheme="minorHAnsi"/>
        </w:rPr>
        <w:t xml:space="preserve"> nacionalne zajednice (u daljnjem tekstu: Tajništvo).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Pod modernizacijom infrastrukture ustanova osnovnog i srednjeg obrazovanja i odgoja i učeničkog standarda na teritoriju AP Vojvodine u smislu ovog pravilnika podrazumijeva se izgradnja  i dogradnja, rekonstrukcija, adaptacija, sanacija, investicijsko održavanje objekata, tekuće održavanje zgrada i objekata, pribavljanje tehničke dokumentacije i nabava opreme.</w:t>
      </w:r>
    </w:p>
    <w:p w:rsidR="00A15236" w:rsidRPr="00917AB9" w:rsidRDefault="00A15236">
      <w:pPr>
        <w:spacing w:before="11"/>
        <w:rPr>
          <w:rFonts w:eastAsia="Arial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2.</w:t>
      </w:r>
    </w:p>
    <w:p w:rsidR="00A15236" w:rsidRPr="00917AB9" w:rsidRDefault="00A15236">
      <w:pPr>
        <w:spacing w:before="2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Pravo na dodjelu sredstava imaju ustanove osnovnog i srednjeg obrazovanja i odgoja i učeničkog standarda na teritoriju AP Vojvodine, čiji je osnivač Republika Srbija, autonomna pokrajina ili jedinica lokalne samouprave (u daljnjem tekstu: korisnici).</w:t>
      </w:r>
    </w:p>
    <w:p w:rsidR="00A15236" w:rsidRPr="00917AB9" w:rsidRDefault="00A15236">
      <w:pPr>
        <w:spacing w:before="7"/>
        <w:rPr>
          <w:rFonts w:eastAsia="Arial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3.</w:t>
      </w:r>
    </w:p>
    <w:p w:rsidR="00A15236" w:rsidRPr="00917AB9" w:rsidRDefault="00A15236">
      <w:pPr>
        <w:spacing w:before="5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Dodjela sredstava za financiranje i sufinanciranje za namjene iz članka 1. obavlja se putem natječaja.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Natječaj se može raspisati za određenu namjenu, više namjena ili sve namjene iz članka 1. stavka 2, što se utvrđuje natječajem.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Natječaj sadrži podatke o nazivu akta na temelju kojeg se raspisuje natječaj, visinu ukupnih sredstava predviđenih za dodjelu po natječaju, tko se može prijaviti na natječaj i za koje namjene, način i rok za podnošenje prijava na natječaj, kao i drugu dokumentaciju kojom se dokazuje ispunjenost uvjeta za podnošenje prijave na natječaj i kriterije za ocjenu prijava.</w:t>
      </w:r>
    </w:p>
    <w:p w:rsidR="00A15236" w:rsidRPr="00917AB9" w:rsidRDefault="00A15236">
      <w:pPr>
        <w:spacing w:before="6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4.</w:t>
      </w:r>
    </w:p>
    <w:p w:rsidR="00A15236" w:rsidRPr="00917AB9" w:rsidRDefault="00A15236">
      <w:pPr>
        <w:spacing w:before="4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Natječaj se objavljuje na službenoj mrežnoj stranici Tajništva, u „Službenom listu Autonomne Pokrajine Vojvodine“ i u jednom od javnih glasila koje pokriva cijeli teritorij AP Vojvodine.</w:t>
      </w:r>
    </w:p>
    <w:p w:rsid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Natječaj se može objaviti i na jezicima nacionalnih manjina - nacionalnih zajednica koji su u službenoj uporabi u radu tijela AP Vojvodine.</w:t>
      </w:r>
    </w:p>
    <w:p w:rsidR="00917AB9" w:rsidRDefault="00917AB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5.</w:t>
      </w:r>
    </w:p>
    <w:p w:rsidR="00A15236" w:rsidRPr="00917AB9" w:rsidRDefault="00A15236">
      <w:pPr>
        <w:spacing w:before="9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 xml:space="preserve">Prijava na natječaj se podnosi u pismenoj formi, na jedinstvenom obrascu koji se objavljuje na </w:t>
      </w:r>
      <w:r w:rsidRPr="00917AB9">
        <w:rPr>
          <w:rFonts w:asciiTheme="minorHAnsi" w:hAnsiTheme="minorHAnsi" w:cstheme="minorHAnsi"/>
        </w:rPr>
        <w:lastRenderedPageBreak/>
        <w:t>mrežnoj stranici Tajništva i koji sadrži opće podatke o podnositelju, naziv projekta, razdoblje realizacije, predviđene aktivnosti, očekivane rezultate, financijski plan kao i planirani rok završetka projekta.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Tajništvo zadržava pravo od podnositelja prijave, prema potrebi, zatražiti dodatnu dokumentaciju i informacije.</w:t>
      </w:r>
    </w:p>
    <w:p w:rsidR="00A15236" w:rsidRPr="00917AB9" w:rsidRDefault="00A15236">
      <w:pPr>
        <w:spacing w:before="11"/>
        <w:rPr>
          <w:rFonts w:eastAsia="Calibri" w:cstheme="minorHAnsi"/>
          <w:sz w:val="20"/>
          <w:szCs w:val="20"/>
        </w:rPr>
      </w:pPr>
    </w:p>
    <w:p w:rsidR="00A15236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6.</w:t>
      </w:r>
    </w:p>
    <w:p w:rsidR="00917AB9" w:rsidRPr="00917AB9" w:rsidRDefault="00917AB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</w:p>
    <w:p w:rsid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 xml:space="preserve">Povjerenstvo neće razmatrati: </w:t>
      </w:r>
    </w:p>
    <w:p w:rsidR="00A15236" w:rsidRPr="00917AB9" w:rsidRDefault="00FF2029" w:rsidP="00917AB9">
      <w:pPr>
        <w:pStyle w:val="BodyText"/>
        <w:numPr>
          <w:ilvl w:val="0"/>
          <w:numId w:val="3"/>
        </w:numPr>
        <w:spacing w:before="59" w:line="242" w:lineRule="auto"/>
        <w:ind w:right="142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nepotpune prijave;</w:t>
      </w:r>
    </w:p>
    <w:p w:rsidR="00A15236" w:rsidRPr="00917AB9" w:rsidRDefault="00FF2029" w:rsidP="00917AB9">
      <w:pPr>
        <w:pStyle w:val="BodyText"/>
        <w:numPr>
          <w:ilvl w:val="0"/>
          <w:numId w:val="3"/>
        </w:numPr>
        <w:spacing w:before="59" w:line="242" w:lineRule="auto"/>
        <w:ind w:right="142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nepravodobne prijave (prijave poslane nakon roka koji je označen kao posljednji dan natječaja);</w:t>
      </w:r>
    </w:p>
    <w:p w:rsidR="00A15236" w:rsidRPr="00917AB9" w:rsidRDefault="00FF2029" w:rsidP="00917AB9">
      <w:pPr>
        <w:pStyle w:val="BodyText"/>
        <w:numPr>
          <w:ilvl w:val="0"/>
          <w:numId w:val="3"/>
        </w:numPr>
        <w:spacing w:before="59" w:line="242" w:lineRule="auto"/>
        <w:ind w:right="142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nedopuštene prijave (prijave podnesene od strane neovlaštenih osoba i subjekata koji nisu predviđeni natječajem);</w:t>
      </w:r>
    </w:p>
    <w:p w:rsidR="00A15236" w:rsidRPr="00917AB9" w:rsidRDefault="00FF2029" w:rsidP="00917AB9">
      <w:pPr>
        <w:pStyle w:val="BodyText"/>
        <w:numPr>
          <w:ilvl w:val="0"/>
          <w:numId w:val="3"/>
        </w:numPr>
        <w:spacing w:before="59" w:line="242" w:lineRule="auto"/>
        <w:ind w:right="142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prijave koje se ne odnose na natječajem predviđene namjene;</w:t>
      </w:r>
    </w:p>
    <w:p w:rsidR="00A15236" w:rsidRPr="00917AB9" w:rsidRDefault="00FF2029" w:rsidP="00917AB9">
      <w:pPr>
        <w:pStyle w:val="BodyText"/>
        <w:numPr>
          <w:ilvl w:val="0"/>
          <w:numId w:val="3"/>
        </w:numPr>
        <w:spacing w:before="59" w:line="242" w:lineRule="auto"/>
        <w:ind w:right="142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prijave korisnika koji u prethodnom razdoblju nisu opravdali sredstva dodijeljena iz pokrajinskog proračuna kroz financijska i narativna izvješća.</w:t>
      </w:r>
    </w:p>
    <w:p w:rsidR="00A15236" w:rsidRPr="00917AB9" w:rsidRDefault="00A15236">
      <w:pPr>
        <w:spacing w:before="6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7.</w:t>
      </w:r>
    </w:p>
    <w:p w:rsidR="00A15236" w:rsidRPr="00917AB9" w:rsidRDefault="00A15236">
      <w:pPr>
        <w:spacing w:before="1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ind w:left="0" w:right="142" w:firstLine="720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Kriteriji za ocjenu prijava su:</w:t>
      </w:r>
    </w:p>
    <w:p w:rsidR="00A15236" w:rsidRPr="00917AB9" w:rsidRDefault="00FF2029" w:rsidP="00917AB9">
      <w:pPr>
        <w:pStyle w:val="ListParagraph"/>
        <w:numPr>
          <w:ilvl w:val="1"/>
          <w:numId w:val="5"/>
        </w:numPr>
        <w:tabs>
          <w:tab w:val="left" w:pos="2444"/>
        </w:tabs>
        <w:spacing w:before="5"/>
        <w:ind w:right="142"/>
        <w:rPr>
          <w:rFonts w:eastAsia="Calibri"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Značaj realizacije projekta u odnosu na sigurnost učenika, nastavnika i zaposlenika koji koriste objekte</w:t>
      </w:r>
    </w:p>
    <w:p w:rsidR="00A15236" w:rsidRPr="00917AB9" w:rsidRDefault="00FF2029" w:rsidP="00917AB9">
      <w:pPr>
        <w:pStyle w:val="ListParagraph"/>
        <w:numPr>
          <w:ilvl w:val="1"/>
          <w:numId w:val="5"/>
        </w:numPr>
        <w:tabs>
          <w:tab w:val="left" w:pos="2444"/>
        </w:tabs>
        <w:ind w:right="142"/>
        <w:rPr>
          <w:rFonts w:eastAsia="Calibri"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Značaj realizacije projekta u odnosu na osiguravanje kvalitetnih uvjeta za izvođenje odgojno-obrazovnog rada</w:t>
      </w:r>
    </w:p>
    <w:p w:rsidR="00A15236" w:rsidRPr="00917AB9" w:rsidRDefault="00FF2029" w:rsidP="00917AB9">
      <w:pPr>
        <w:pStyle w:val="ListParagraph"/>
        <w:numPr>
          <w:ilvl w:val="1"/>
          <w:numId w:val="5"/>
        </w:numPr>
        <w:tabs>
          <w:tab w:val="left" w:pos="2449"/>
        </w:tabs>
        <w:spacing w:before="5"/>
        <w:ind w:right="142"/>
        <w:rPr>
          <w:rFonts w:eastAsia="Calibri"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Financijska opravdanost projekta</w:t>
      </w:r>
    </w:p>
    <w:p w:rsidR="00A15236" w:rsidRPr="00917AB9" w:rsidRDefault="00FF2029" w:rsidP="00917AB9">
      <w:pPr>
        <w:pStyle w:val="ListParagraph"/>
        <w:numPr>
          <w:ilvl w:val="1"/>
          <w:numId w:val="5"/>
        </w:numPr>
        <w:tabs>
          <w:tab w:val="left" w:pos="2454"/>
        </w:tabs>
        <w:spacing w:before="5"/>
        <w:ind w:right="142"/>
        <w:rPr>
          <w:rFonts w:eastAsia="Calibri"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Održivost projekta</w:t>
      </w:r>
    </w:p>
    <w:p w:rsidR="00A15236" w:rsidRPr="00917AB9" w:rsidRDefault="00FF2029" w:rsidP="00917AB9">
      <w:pPr>
        <w:pStyle w:val="ListParagraph"/>
        <w:numPr>
          <w:ilvl w:val="1"/>
          <w:numId w:val="5"/>
        </w:numPr>
        <w:tabs>
          <w:tab w:val="left" w:pos="2444"/>
        </w:tabs>
        <w:ind w:right="142"/>
        <w:rPr>
          <w:rFonts w:eastAsia="Calibri"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Lokalni odnosno regionalni značaj projekta</w:t>
      </w:r>
    </w:p>
    <w:p w:rsidR="00A15236" w:rsidRPr="00917AB9" w:rsidRDefault="00FF2029" w:rsidP="00917AB9">
      <w:pPr>
        <w:pStyle w:val="ListParagraph"/>
        <w:numPr>
          <w:ilvl w:val="1"/>
          <w:numId w:val="5"/>
        </w:numPr>
        <w:tabs>
          <w:tab w:val="left" w:pos="2449"/>
        </w:tabs>
        <w:spacing w:before="5"/>
        <w:ind w:right="142"/>
        <w:rPr>
          <w:rFonts w:eastAsia="Calibri"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Aktivnosti koje su poduzete u cilju realizacije projekta</w:t>
      </w:r>
    </w:p>
    <w:p w:rsidR="00A15236" w:rsidRPr="00917AB9" w:rsidRDefault="00FF2029" w:rsidP="00917AB9">
      <w:pPr>
        <w:pStyle w:val="ListParagraph"/>
        <w:numPr>
          <w:ilvl w:val="1"/>
          <w:numId w:val="5"/>
        </w:numPr>
        <w:tabs>
          <w:tab w:val="left" w:pos="2459"/>
        </w:tabs>
        <w:ind w:right="142"/>
        <w:rPr>
          <w:rFonts w:eastAsia="Calibri"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Osigurani izvori sredstava za realizaciju projekta</w:t>
      </w:r>
    </w:p>
    <w:p w:rsidR="00A15236" w:rsidRPr="00917AB9" w:rsidRDefault="00A15236">
      <w:pPr>
        <w:spacing w:before="6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8.</w:t>
      </w:r>
    </w:p>
    <w:p w:rsidR="00A15236" w:rsidRPr="00917AB9" w:rsidRDefault="00A15236">
      <w:pPr>
        <w:spacing w:before="6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Pokrajinski tajnik nadležan za poslove obrazovanja (u daljnjem tekstu:    pokrajinski tajnik) osniva Povjerenstvo za provedbu natječaja (u daljnjem tekstu: Povjerenstvo).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Povjerenstvo razmatra podnesene prijave na natječaj.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Nakon razmatranja podnesenih prijava na natječaj, Povjerenstvo sastavlja obrazloženi prijedlog za dodjelu sredstava i dostavlja ga pokrajinskom tajniku.</w:t>
      </w:r>
    </w:p>
    <w:p w:rsidR="00A15236" w:rsidRPr="00917AB9" w:rsidRDefault="00A15236">
      <w:pPr>
        <w:spacing w:before="11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9.</w:t>
      </w:r>
    </w:p>
    <w:p w:rsidR="00A15236" w:rsidRPr="00917AB9" w:rsidRDefault="00A15236">
      <w:pPr>
        <w:spacing w:before="9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Pokrajinski tajnik razmatra prijedlog Povjerenstva i odlučuje o raspodjeli sredstava korisnicima rješenjem.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Rješenje iz stavka 1. ovog članka je konačno.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Rezultati natječaja se objavljuju na mrežnoj stranici Tajništva.</w:t>
      </w:r>
    </w:p>
    <w:p w:rsidR="00A15236" w:rsidRPr="00917AB9" w:rsidRDefault="00A15236">
      <w:pPr>
        <w:spacing w:before="3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10.</w:t>
      </w:r>
    </w:p>
    <w:p w:rsidR="00A15236" w:rsidRPr="00917AB9" w:rsidRDefault="00A15236">
      <w:pPr>
        <w:spacing w:before="6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Obvezu dodjele sredstava Tajništvo preuzima na temelju ugovora, u smislu zakona kojim se uređuje proračunski sustav.</w:t>
      </w:r>
    </w:p>
    <w:p w:rsidR="00A15236" w:rsidRPr="00917AB9" w:rsidRDefault="00A15236">
      <w:pPr>
        <w:spacing w:before="6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keepNext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lastRenderedPageBreak/>
        <w:t>Članak 11.</w:t>
      </w:r>
    </w:p>
    <w:p w:rsidR="00A15236" w:rsidRPr="00917AB9" w:rsidRDefault="00A15236" w:rsidP="00917AB9">
      <w:pPr>
        <w:keepNext/>
        <w:spacing w:before="1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keepNext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Korisnik je dužan dodijeljena sredstva koristiti namjenski i zakonito, a neutrošena sredstva vratiti u proračun AP Vojvodine.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Korisnik je u obvezi  podnijeti izvješće o korištenju sredstava, najkasnije u roku od 15 (petnaest) dana od utvrđenog roka za realizaciju namjene, za koju su sredstva dodijeljena, s pripadajućom dokumentacijom koju su ovjerile odgovorne osobe.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Korisnik je u obvezi  dobivena sredstva vratiti u proračun AP Vojvodine, ukoliko se utvrdi da se sredstva ne koriste za realizaciju namjene za koju su dodijeljena.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Ukoliko korisnik ne dostavi izvješće iz stavka 2. ovog članka, gubi pravo konkurirati za raspodjelu sredstava s novim programima odnosno projektima.</w:t>
      </w: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U slučaju sumnje da dodijeljena sredstva u pojedinim slučajevima nisu namjenski korištena, Tajništvo će pokrenuti postupak pred pokrajinskim tijelom uprave nadležnim za proračunsku inspekciju, radi kontrole namjenskog i zakonitog  korištenja sredstava.</w:t>
      </w:r>
    </w:p>
    <w:p w:rsidR="00A15236" w:rsidRPr="00917AB9" w:rsidRDefault="00A15236">
      <w:pPr>
        <w:spacing w:before="9"/>
        <w:rPr>
          <w:rFonts w:eastAsia="Calibri" w:cstheme="minorHAnsi"/>
          <w:sz w:val="20"/>
          <w:szCs w:val="20"/>
        </w:rPr>
      </w:pPr>
    </w:p>
    <w:p w:rsidR="00A15236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12.</w:t>
      </w:r>
    </w:p>
    <w:p w:rsidR="00917AB9" w:rsidRPr="00917AB9" w:rsidRDefault="00917AB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Danom stupanja na snagu ovog Pravilnika prestaje važiti  Pravilnik o dodjeli proračunskih sredstava Pokrajinskog tajništva za obrazovanje, propise, upravu i nacionalne manjine - nacionalne zajednice za financiranje nabave opreme za škole osnovnog obrazovanja i odgoja i za škole srednjeg obrazovanja  na teritoriju Autonomne Pokrajine Vojvodine („Sl. list APV“, broj: 16/15) i Pravilnik o dodjeli proračunskih sredstava Pokrajinskog tajništva za obrazovanje, propise, upravu i nacionalne manjine - nacionalne zajednice za financiranje nabave opreme za ustanove učeničkog standarda u Autonomnoj Pokrajini Vojvodini  („Sl. list APV“, broj: 16/15).</w:t>
      </w:r>
    </w:p>
    <w:p w:rsidR="00A15236" w:rsidRPr="00917AB9" w:rsidRDefault="00A15236">
      <w:pPr>
        <w:spacing w:before="9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line="256" w:lineRule="auto"/>
        <w:ind w:left="0" w:right="142"/>
        <w:jc w:val="center"/>
        <w:rPr>
          <w:rFonts w:asciiTheme="minorHAnsi" w:hAnsiTheme="minorHAnsi" w:cstheme="minorHAnsi"/>
          <w:b/>
        </w:rPr>
      </w:pPr>
      <w:r w:rsidRPr="00917AB9">
        <w:rPr>
          <w:rFonts w:asciiTheme="minorHAnsi" w:hAnsiTheme="minorHAnsi" w:cstheme="minorHAnsi"/>
          <w:b/>
        </w:rPr>
        <w:t>Članak 13.</w:t>
      </w:r>
    </w:p>
    <w:p w:rsidR="00A15236" w:rsidRPr="00917AB9" w:rsidRDefault="00A15236">
      <w:pPr>
        <w:spacing w:before="6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spacing w:before="59" w:line="242" w:lineRule="auto"/>
        <w:ind w:left="0" w:right="142" w:firstLine="720"/>
        <w:jc w:val="both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Ovaj Pravilnik stupa na snagu danom objave u „Službenom listu Autonomne Pokrajine Vojvodine“, a bit će postavljen i na službenoj mrežnoj stranici Pokrajinskog tajništva za obrazovanje, propise, upravu i nacionalne manjine - nacionalne zajednice.</w:t>
      </w:r>
    </w:p>
    <w:p w:rsidR="00A15236" w:rsidRPr="00917AB9" w:rsidRDefault="00A15236">
      <w:pPr>
        <w:rPr>
          <w:rFonts w:eastAsia="Calibri" w:cstheme="minorHAnsi"/>
          <w:sz w:val="20"/>
          <w:szCs w:val="20"/>
        </w:rPr>
      </w:pPr>
    </w:p>
    <w:p w:rsidR="00A15236" w:rsidRPr="00917AB9" w:rsidRDefault="00A15236">
      <w:pPr>
        <w:spacing w:before="2"/>
        <w:rPr>
          <w:rFonts w:eastAsia="Calibri" w:cstheme="minorHAnsi"/>
          <w:sz w:val="20"/>
          <w:szCs w:val="20"/>
        </w:rPr>
      </w:pPr>
    </w:p>
    <w:p w:rsidR="00A15236" w:rsidRPr="00917AB9" w:rsidRDefault="00FF2029" w:rsidP="00917AB9">
      <w:pPr>
        <w:pStyle w:val="BodyText"/>
        <w:ind w:left="284" w:right="925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Klasa:  128-451-27/2017-04</w:t>
      </w:r>
    </w:p>
    <w:p w:rsidR="00A15236" w:rsidRPr="00917AB9" w:rsidRDefault="00FF2029" w:rsidP="00917AB9">
      <w:pPr>
        <w:pStyle w:val="BodyText"/>
        <w:ind w:left="284" w:right="925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>Novi Sad, 17. siječnja 2017. godine</w:t>
      </w:r>
    </w:p>
    <w:p w:rsidR="00A15236" w:rsidRPr="00917AB9" w:rsidRDefault="00A15236">
      <w:pPr>
        <w:spacing w:before="8"/>
        <w:rPr>
          <w:rFonts w:eastAsia="Calibri" w:cstheme="minorHAnsi"/>
          <w:sz w:val="20"/>
          <w:szCs w:val="20"/>
        </w:rPr>
      </w:pPr>
    </w:p>
    <w:p w:rsidR="00A15236" w:rsidRDefault="00FF2029" w:rsidP="00917AB9">
      <w:pPr>
        <w:ind w:left="6379" w:right="568"/>
        <w:rPr>
          <w:rFonts w:cstheme="minorHAnsi"/>
          <w:sz w:val="20"/>
          <w:szCs w:val="20"/>
        </w:rPr>
      </w:pPr>
      <w:r w:rsidRPr="00917AB9">
        <w:rPr>
          <w:rFonts w:cstheme="minorHAnsi"/>
          <w:sz w:val="20"/>
          <w:szCs w:val="20"/>
        </w:rPr>
        <w:t>POKRAJINSKI TAJNIK</w:t>
      </w:r>
    </w:p>
    <w:p w:rsidR="00917AB9" w:rsidRPr="00917AB9" w:rsidRDefault="007E369A" w:rsidP="00917AB9">
      <w:pPr>
        <w:ind w:left="6379" w:right="568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Mihály</w:t>
      </w:r>
      <w:r>
        <w:rPr>
          <w:rFonts w:cstheme="minorHAnsi"/>
          <w:sz w:val="20"/>
          <w:szCs w:val="20"/>
        </w:rPr>
        <w:t xml:space="preserve"> </w:t>
      </w:r>
      <w:r w:rsidR="00917AB9">
        <w:rPr>
          <w:rFonts w:cstheme="minorHAnsi"/>
          <w:sz w:val="20"/>
          <w:szCs w:val="20"/>
        </w:rPr>
        <w:t xml:space="preserve">Nyilas </w:t>
      </w:r>
      <w:bookmarkStart w:id="0" w:name="_GoBack"/>
      <w:bookmarkEnd w:id="0"/>
    </w:p>
    <w:p w:rsidR="00A15236" w:rsidRPr="00917AB9" w:rsidRDefault="00A15236">
      <w:pPr>
        <w:spacing w:before="3"/>
        <w:rPr>
          <w:rFonts w:eastAsia="Calibri" w:cstheme="minorHAnsi"/>
          <w:sz w:val="20"/>
          <w:szCs w:val="20"/>
        </w:rPr>
      </w:pPr>
    </w:p>
    <w:p w:rsidR="00A15236" w:rsidRPr="00917AB9" w:rsidRDefault="00FF2029">
      <w:pPr>
        <w:pStyle w:val="BodyText"/>
        <w:tabs>
          <w:tab w:val="left" w:pos="3384"/>
        </w:tabs>
        <w:spacing w:line="1954" w:lineRule="exact"/>
        <w:ind w:left="3010"/>
        <w:rPr>
          <w:rFonts w:asciiTheme="minorHAnsi" w:hAnsiTheme="minorHAnsi" w:cstheme="minorHAnsi"/>
        </w:rPr>
      </w:pPr>
      <w:r w:rsidRPr="00917AB9">
        <w:rPr>
          <w:rFonts w:asciiTheme="minorHAnsi" w:hAnsiTheme="minorHAnsi" w:cstheme="minorHAnsi"/>
        </w:rPr>
        <w:tab/>
      </w:r>
    </w:p>
    <w:sectPr w:rsidR="00A15236" w:rsidRPr="00917AB9" w:rsidSect="00917AB9">
      <w:pgSz w:w="11907" w:h="16839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DDE"/>
    <w:multiLevelType w:val="hybridMultilevel"/>
    <w:tmpl w:val="4B546B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0F">
      <w:start w:val="1"/>
      <w:numFmt w:val="decimal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D6ADE"/>
    <w:multiLevelType w:val="hybridMultilevel"/>
    <w:tmpl w:val="3C247E32"/>
    <w:lvl w:ilvl="0" w:tplc="C61CC5B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421C0D"/>
    <w:multiLevelType w:val="hybridMultilevel"/>
    <w:tmpl w:val="A60829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C49"/>
    <w:multiLevelType w:val="hybridMultilevel"/>
    <w:tmpl w:val="B07ABD5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95557"/>
    <w:multiLevelType w:val="hybridMultilevel"/>
    <w:tmpl w:val="74683AF4"/>
    <w:lvl w:ilvl="0" w:tplc="99CA8B16">
      <w:start w:val="1"/>
      <w:numFmt w:val="bullet"/>
      <w:lvlText w:val="—"/>
      <w:lvlJc w:val="left"/>
      <w:pPr>
        <w:ind w:left="1493" w:hanging="116"/>
      </w:pPr>
      <w:rPr>
        <w:rFonts w:ascii="Calibri" w:eastAsia="Calibri" w:hAnsi="Calibri" w:hint="default"/>
        <w:w w:val="26"/>
        <w:sz w:val="20"/>
        <w:szCs w:val="20"/>
      </w:rPr>
    </w:lvl>
    <w:lvl w:ilvl="1" w:tplc="111A828A">
      <w:start w:val="1"/>
      <w:numFmt w:val="decimal"/>
      <w:lvlText w:val="%2."/>
      <w:lvlJc w:val="left"/>
      <w:pPr>
        <w:ind w:left="2453" w:hanging="341"/>
        <w:jc w:val="left"/>
      </w:pPr>
      <w:rPr>
        <w:rFonts w:ascii="Calibri" w:eastAsia="Calibri" w:hAnsi="Calibri" w:hint="default"/>
        <w:w w:val="86"/>
        <w:sz w:val="20"/>
        <w:szCs w:val="20"/>
      </w:rPr>
    </w:lvl>
    <w:lvl w:ilvl="2" w:tplc="8AECE454">
      <w:start w:val="1"/>
      <w:numFmt w:val="bullet"/>
      <w:lvlText w:val="•"/>
      <w:lvlJc w:val="left"/>
      <w:pPr>
        <w:ind w:left="3444" w:hanging="341"/>
      </w:pPr>
      <w:rPr>
        <w:rFonts w:hint="default"/>
      </w:rPr>
    </w:lvl>
    <w:lvl w:ilvl="3" w:tplc="0ECAA39C">
      <w:start w:val="1"/>
      <w:numFmt w:val="bullet"/>
      <w:lvlText w:val="•"/>
      <w:lvlJc w:val="left"/>
      <w:pPr>
        <w:ind w:left="4428" w:hanging="341"/>
      </w:pPr>
      <w:rPr>
        <w:rFonts w:hint="default"/>
      </w:rPr>
    </w:lvl>
    <w:lvl w:ilvl="4" w:tplc="34EE0FFC">
      <w:start w:val="1"/>
      <w:numFmt w:val="bullet"/>
      <w:lvlText w:val="•"/>
      <w:lvlJc w:val="left"/>
      <w:pPr>
        <w:ind w:left="5413" w:hanging="341"/>
      </w:pPr>
      <w:rPr>
        <w:rFonts w:hint="default"/>
      </w:rPr>
    </w:lvl>
    <w:lvl w:ilvl="5" w:tplc="92EE238E">
      <w:start w:val="1"/>
      <w:numFmt w:val="bullet"/>
      <w:lvlText w:val="•"/>
      <w:lvlJc w:val="left"/>
      <w:pPr>
        <w:ind w:left="6397" w:hanging="341"/>
      </w:pPr>
      <w:rPr>
        <w:rFonts w:hint="default"/>
      </w:rPr>
    </w:lvl>
    <w:lvl w:ilvl="6" w:tplc="4DE812D0">
      <w:start w:val="1"/>
      <w:numFmt w:val="bullet"/>
      <w:lvlText w:val="•"/>
      <w:lvlJc w:val="left"/>
      <w:pPr>
        <w:ind w:left="7382" w:hanging="341"/>
      </w:pPr>
      <w:rPr>
        <w:rFonts w:hint="default"/>
      </w:rPr>
    </w:lvl>
    <w:lvl w:ilvl="7" w:tplc="13667C64">
      <w:start w:val="1"/>
      <w:numFmt w:val="bullet"/>
      <w:lvlText w:val="•"/>
      <w:lvlJc w:val="left"/>
      <w:pPr>
        <w:ind w:left="8366" w:hanging="341"/>
      </w:pPr>
      <w:rPr>
        <w:rFonts w:hint="default"/>
      </w:rPr>
    </w:lvl>
    <w:lvl w:ilvl="8" w:tplc="6A940764">
      <w:start w:val="1"/>
      <w:numFmt w:val="bullet"/>
      <w:lvlText w:val="•"/>
      <w:lvlJc w:val="left"/>
      <w:pPr>
        <w:ind w:left="9351" w:hanging="34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5236"/>
    <w:rsid w:val="007E369A"/>
    <w:rsid w:val="00917AB9"/>
    <w:rsid w:val="00A15236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A836F-D7F4-4EE0-BDB5-81CE12B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79"/>
      <w:outlineLvl w:val="0"/>
    </w:pPr>
    <w:rPr>
      <w:rFonts w:ascii="Calibri" w:eastAsia="Calibri" w:hAnsi="Calibr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0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Hrvoje Kenjerić</cp:lastModifiedBy>
  <cp:revision>7</cp:revision>
  <dcterms:created xsi:type="dcterms:W3CDTF">2022-01-19T09:19:00Z</dcterms:created>
  <dcterms:modified xsi:type="dcterms:W3CDTF">2022-01-19T09:55:00Z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2022-01-19T00:00:00Z</vt:filetime>
  </property>
</Properties>
</file>