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425CE4" w:rsidRPr="00F85C5F" w:rsidTr="00357439">
        <w:trPr>
          <w:trHeight w:val="1975"/>
        </w:trPr>
        <w:tc>
          <w:tcPr>
            <w:tcW w:w="2410" w:type="dxa"/>
          </w:tcPr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1261DAE1" wp14:editId="4F16AB3A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425CE4" w:rsidRPr="00F85C5F" w:rsidRDefault="00425CE4" w:rsidP="00357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sz w:val="22"/>
                <w:szCs w:val="22"/>
              </w:rPr>
              <w:t xml:space="preserve">Autonómna </w:t>
            </w:r>
            <w:proofErr w:type="spellStart"/>
            <w:r w:rsidRPr="00F85C5F">
              <w:rPr>
                <w:rFonts w:asciiTheme="minorHAnsi" w:hAnsiTheme="minorHAnsi" w:cstheme="minorHAnsi"/>
                <w:sz w:val="22"/>
                <w:szCs w:val="22"/>
              </w:rPr>
              <w:t>pokrajina</w:t>
            </w:r>
            <w:proofErr w:type="spellEnd"/>
            <w:r w:rsidRPr="00F85C5F">
              <w:rPr>
                <w:rFonts w:asciiTheme="minorHAnsi" w:hAnsiTheme="minorHAnsi" w:cstheme="minorHAnsi"/>
                <w:sz w:val="22"/>
                <w:szCs w:val="22"/>
              </w:rPr>
              <w:t xml:space="preserve"> Vojvodina</w:t>
            </w:r>
          </w:p>
          <w:p w:rsidR="00425CE4" w:rsidRPr="00F85C5F" w:rsidRDefault="00425CE4" w:rsidP="00357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85C5F">
              <w:rPr>
                <w:rFonts w:asciiTheme="minorHAnsi" w:hAnsiTheme="minorHAnsi" w:cstheme="minorHAnsi"/>
                <w:b/>
                <w:sz w:val="22"/>
                <w:szCs w:val="22"/>
              </w:rPr>
              <w:t>Pokrajinský</w:t>
            </w:r>
            <w:proofErr w:type="spellEnd"/>
            <w:r w:rsidRPr="00F85C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sekretariát vzdelávania, predpisov,</w:t>
            </w:r>
          </w:p>
          <w:p w:rsidR="00425CE4" w:rsidRPr="00F85C5F" w:rsidRDefault="00425CE4" w:rsidP="00357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sz w:val="22"/>
                <w:szCs w:val="22"/>
              </w:rPr>
              <w:t xml:space="preserve">Bulvár </w:t>
            </w:r>
            <w:proofErr w:type="spellStart"/>
            <w:r w:rsidRPr="00F85C5F">
              <w:rPr>
                <w:rFonts w:asciiTheme="minorHAnsi" w:hAnsiTheme="minorHAnsi" w:cstheme="minorHAnsi"/>
                <w:sz w:val="22"/>
                <w:szCs w:val="22"/>
              </w:rPr>
              <w:t>Mihajla</w:t>
            </w:r>
            <w:proofErr w:type="spellEnd"/>
            <w:r w:rsidRPr="00F85C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85C5F">
              <w:rPr>
                <w:rFonts w:asciiTheme="minorHAnsi" w:hAnsiTheme="minorHAnsi" w:cstheme="minorHAnsi"/>
                <w:sz w:val="22"/>
                <w:szCs w:val="22"/>
              </w:rPr>
              <w:t>Pupina</w:t>
            </w:r>
            <w:proofErr w:type="spellEnd"/>
            <w:r w:rsidRPr="00F85C5F">
              <w:rPr>
                <w:rFonts w:asciiTheme="minorHAnsi" w:hAnsiTheme="minorHAnsi" w:cstheme="minorHAnsi"/>
                <w:sz w:val="22"/>
                <w:szCs w:val="22"/>
              </w:rPr>
              <w:t xml:space="preserve"> 16, 21 000 Nový Sad</w:t>
            </w:r>
          </w:p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sz w:val="22"/>
                <w:szCs w:val="22"/>
              </w:rPr>
              <w:t>T: +381 21  487  46 14, 487 40 36, 487 43 36</w:t>
            </w:r>
          </w:p>
          <w:p w:rsidR="00425CE4" w:rsidRPr="00F85C5F" w:rsidRDefault="00317CBD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8A53DE" w:rsidRPr="00F85C5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ounz@vojvodinа.gov.rs</w:t>
              </w:r>
            </w:hyperlink>
          </w:p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425CE4" w:rsidRPr="00F85C5F" w:rsidRDefault="00425CE4" w:rsidP="00425CE4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425CE4" w:rsidRPr="00F85C5F" w:rsidTr="00357439">
        <w:trPr>
          <w:trHeight w:val="426"/>
        </w:trPr>
        <w:tc>
          <w:tcPr>
            <w:tcW w:w="3402" w:type="dxa"/>
          </w:tcPr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ind w:hanging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ČÍSLO: 128-454-1/2022-04/3</w:t>
            </w:r>
          </w:p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DÁTUM: 23. 3. 2022</w:t>
            </w:r>
          </w:p>
          <w:p w:rsidR="00425CE4" w:rsidRPr="00F85C5F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25CE4" w:rsidRPr="00F85C5F" w:rsidRDefault="00425CE4" w:rsidP="00425CE4">
      <w:pPr>
        <w:pStyle w:val="BlockText"/>
        <w:ind w:left="0" w:right="-12" w:firstLine="0"/>
        <w:rPr>
          <w:rFonts w:asciiTheme="minorHAnsi" w:hAnsiTheme="minorHAnsi" w:cstheme="minorHAnsi"/>
          <w:sz w:val="22"/>
          <w:szCs w:val="22"/>
        </w:rPr>
      </w:pPr>
      <w:r w:rsidRPr="00F85C5F">
        <w:rPr>
          <w:rFonts w:asciiTheme="minorHAnsi" w:hAnsiTheme="minorHAnsi" w:cstheme="minorHAnsi"/>
          <w:sz w:val="22"/>
          <w:szCs w:val="22"/>
        </w:rPr>
        <w:t xml:space="preserve">      Podľa článku 15, 16 odsek 5 a 24 odsek 2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správe (Úradný vestník APV č. 37/14, 54/14 ‒ iný predpis, 37/16, 29/17, 24/19, 66/20 a 38/21), článku 23 odsek 1 a 4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Vojvodiny na rok 2022 (Úradný vestník APV č. 54/21 a 7/22), článku 9 Pravidiel o pridelení rozpočtových prostriedkov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</w:t>
      </w:r>
      <w:r w:rsidR="00F85C5F" w:rsidRPr="00F85C5F">
        <w:rPr>
          <w:rFonts w:asciiTheme="minorHAnsi" w:hAnsiTheme="minorHAnsi" w:cstheme="minorHAnsi"/>
          <w:sz w:val="22"/>
          <w:szCs w:val="22"/>
        </w:rPr>
        <w:t>–</w:t>
      </w:r>
      <w:r w:rsidRPr="00F85C5F">
        <w:rPr>
          <w:rFonts w:asciiTheme="minorHAnsi" w:hAnsiTheme="minorHAnsi" w:cstheme="minorHAnsi"/>
          <w:sz w:val="22"/>
          <w:szCs w:val="22"/>
        </w:rPr>
        <w:t xml:space="preserve"> národnostných spoločenstiev na financovanie a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spolufinacovanie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modernizácie infraštruktúry ustanovizní základného a stredného vzdelávania a výchovy a žiackeho štandardu na území Autonómnej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Vojvodiny (Úradný vestník APV číslo 4/17) a podľa uskutočneného súbehu na financovanie a spolufinancovanie rekonštrukcie, úpravy, sanácie a investičn</w:t>
      </w:r>
      <w:r w:rsidR="00F85C5F" w:rsidRPr="00F85C5F">
        <w:rPr>
          <w:rFonts w:asciiTheme="minorHAnsi" w:hAnsiTheme="minorHAnsi" w:cstheme="minorHAnsi"/>
          <w:sz w:val="22"/>
          <w:szCs w:val="22"/>
        </w:rPr>
        <w:t>ú</w:t>
      </w:r>
      <w:r w:rsidRPr="00F85C5F">
        <w:rPr>
          <w:rFonts w:asciiTheme="minorHAnsi" w:hAnsiTheme="minorHAnsi" w:cstheme="minorHAnsi"/>
          <w:sz w:val="22"/>
          <w:szCs w:val="22"/>
        </w:rPr>
        <w:t xml:space="preserve"> údržb</w:t>
      </w:r>
      <w:r w:rsidR="00F85C5F" w:rsidRPr="00F85C5F">
        <w:rPr>
          <w:rFonts w:asciiTheme="minorHAnsi" w:hAnsiTheme="minorHAnsi" w:cstheme="minorHAnsi"/>
          <w:sz w:val="22"/>
          <w:szCs w:val="22"/>
        </w:rPr>
        <w:t>u</w:t>
      </w:r>
      <w:r w:rsidRPr="00F85C5F">
        <w:rPr>
          <w:rFonts w:asciiTheme="minorHAnsi" w:hAnsiTheme="minorHAnsi" w:cstheme="minorHAnsi"/>
          <w:sz w:val="22"/>
          <w:szCs w:val="22"/>
        </w:rPr>
        <w:t xml:space="preserve"> objektov ustanovizní základného, stredného vzdelávania a výchovy, žiackeho štandardu a predškolských ustanovizní na území Autonómnej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Vojvodiny v roku 2022 č. 128-454-1/2022-04 zo dňa 19. 1. 2022 POKRAJINSKÝ TAJOMNÍK vynáša </w:t>
      </w:r>
    </w:p>
    <w:p w:rsidR="00425CE4" w:rsidRPr="00F85C5F" w:rsidRDefault="00425CE4" w:rsidP="00425CE4">
      <w:pPr>
        <w:pStyle w:val="BlockText"/>
        <w:ind w:left="0" w:right="-12" w:firstLine="0"/>
        <w:rPr>
          <w:rFonts w:asciiTheme="minorHAnsi" w:hAnsiTheme="minorHAnsi" w:cstheme="minorHAnsi"/>
          <w:sz w:val="22"/>
          <w:szCs w:val="22"/>
        </w:rPr>
      </w:pPr>
    </w:p>
    <w:p w:rsidR="00F85C5F" w:rsidRPr="00F85C5F" w:rsidRDefault="00F85C5F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ROZHODNUTIE</w:t>
      </w:r>
    </w:p>
    <w:p w:rsidR="00F85C5F" w:rsidRPr="00F85C5F" w:rsidRDefault="00F85C5F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/>
          <w:sz w:val="22"/>
          <w:szCs w:val="22"/>
        </w:rPr>
      </w:pPr>
      <w:r w:rsidRPr="00F85C5F">
        <w:rPr>
          <w:rFonts w:asciiTheme="minorHAnsi" w:hAnsiTheme="minorHAnsi" w:cstheme="minorHAnsi"/>
          <w:b/>
          <w:sz w:val="22"/>
          <w:szCs w:val="22"/>
        </w:rPr>
        <w:t xml:space="preserve">O ROZVRHNUTÍ ROZPOČTOVÝCH PROSTRIEDKOV POKRAJINSKÉHO SEKRETARIÁTU VZDELÁVANIA, PREDPISOV, SPRÁVY A NÁRODNOSTNÝCH MENŠÍN </w:t>
      </w:r>
      <w:r w:rsidR="00F85C5F" w:rsidRPr="00F85C5F">
        <w:rPr>
          <w:rFonts w:asciiTheme="minorHAnsi" w:hAnsiTheme="minorHAnsi" w:cstheme="minorHAnsi"/>
          <w:b/>
          <w:sz w:val="22"/>
          <w:szCs w:val="22"/>
        </w:rPr>
        <w:t>–</w:t>
      </w:r>
      <w:r w:rsidRPr="00F85C5F">
        <w:rPr>
          <w:rFonts w:asciiTheme="minorHAnsi" w:hAnsiTheme="minorHAnsi" w:cstheme="minorHAnsi"/>
          <w:b/>
          <w:sz w:val="22"/>
          <w:szCs w:val="22"/>
        </w:rPr>
        <w:t xml:space="preserve"> NÁRODNOSTNÝCH SPOLOČENSTIEV NA FINANCOVANIE A SPOLUFINANCOVANIE REKONŠTRUKCIE, ÚPRAVY, SANÁCIE, INVESTÍČNÚ A BEŽNÚ ÚDRŽBU OBJEKTOV STREDNÉHO VZDELÁVANIA A VÝCHOVY NA ÚZEMÍ AUTONÓMNEJ POKRAJINY VOJVODINY NA ROK 2022</w:t>
      </w:r>
    </w:p>
    <w:p w:rsidR="00F85C5F" w:rsidRPr="00F85C5F" w:rsidRDefault="00F85C5F" w:rsidP="00425CE4">
      <w:pPr>
        <w:pStyle w:val="BlockText"/>
        <w:ind w:left="187" w:right="-12" w:firstLine="0"/>
        <w:rPr>
          <w:rFonts w:asciiTheme="minorHAnsi" w:hAnsiTheme="minorHAnsi" w:cstheme="minorHAnsi"/>
          <w:b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</w:t>
      </w:r>
    </w:p>
    <w:p w:rsidR="00F85C5F" w:rsidRPr="00F85C5F" w:rsidRDefault="00F85C5F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42" w:right="-12" w:firstLine="567"/>
        <w:rPr>
          <w:rFonts w:asciiTheme="minorHAnsi" w:hAnsiTheme="minorHAnsi" w:cstheme="minorHAnsi"/>
          <w:i/>
          <w:sz w:val="22"/>
          <w:szCs w:val="22"/>
        </w:rPr>
      </w:pPr>
      <w:r w:rsidRPr="00F85C5F">
        <w:rPr>
          <w:rFonts w:asciiTheme="minorHAnsi" w:hAnsiTheme="minorHAnsi" w:cstheme="minorHAnsi"/>
          <w:sz w:val="22"/>
          <w:szCs w:val="22"/>
        </w:rPr>
        <w:t xml:space="preserve">Týmto rozhodnutím sa ustaľuje rozvrhnutie rozpočtových prostriedkov </w:t>
      </w:r>
      <w:proofErr w:type="spellStart"/>
      <w:r w:rsidRPr="00F85C5F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F85C5F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ustanovizniam stredoškolskej výchovy a vzdelania podľa </w:t>
      </w:r>
      <w:r w:rsidRPr="00F85C5F">
        <w:rPr>
          <w:rFonts w:asciiTheme="minorHAnsi" w:hAnsiTheme="minorHAnsi" w:cstheme="minorHAnsi"/>
          <w:i/>
          <w:iCs/>
          <w:sz w:val="22"/>
          <w:szCs w:val="22"/>
        </w:rPr>
        <w:t xml:space="preserve">Súbehu na financovanie a spolufinancovanie rekonštrukcie, úpravy, sanácie, investícií a bežnej údržby objektov ustanovizní základnej a strednej výchovy a vzdelania, žiackeho štandardu a predškolských ustanovizní na území Autonómnej </w:t>
      </w:r>
      <w:proofErr w:type="spellStart"/>
      <w:r w:rsidRPr="00F85C5F">
        <w:rPr>
          <w:rFonts w:asciiTheme="minorHAnsi" w:hAnsiTheme="minorHAnsi" w:cstheme="minorHAnsi"/>
          <w:i/>
          <w:iCs/>
          <w:sz w:val="22"/>
          <w:szCs w:val="22"/>
        </w:rPr>
        <w:t>pokrajiny</w:t>
      </w:r>
      <w:proofErr w:type="spellEnd"/>
      <w:r w:rsidRPr="00F85C5F">
        <w:rPr>
          <w:rFonts w:asciiTheme="minorHAnsi" w:hAnsiTheme="minorHAnsi" w:cstheme="minorHAnsi"/>
          <w:i/>
          <w:iCs/>
          <w:sz w:val="22"/>
          <w:szCs w:val="22"/>
        </w:rPr>
        <w:t xml:space="preserve"> Vojvodiny na rok 2022, číslo 128-454-1/2022-04 z 19. 1. 2022</w:t>
      </w:r>
      <w:r w:rsidRPr="00F85C5F">
        <w:rPr>
          <w:rFonts w:asciiTheme="minorHAnsi" w:hAnsiTheme="minorHAnsi" w:cstheme="minorHAnsi"/>
          <w:sz w:val="22"/>
          <w:szCs w:val="22"/>
        </w:rPr>
        <w:t xml:space="preserve"> (Úradný vestník APV č. </w:t>
      </w:r>
      <w:r w:rsidRPr="00F85C5F">
        <w:rPr>
          <w:rFonts w:asciiTheme="minorHAnsi" w:hAnsiTheme="minorHAnsi" w:cstheme="minorHAnsi"/>
          <w:i/>
          <w:sz w:val="22"/>
          <w:szCs w:val="22"/>
        </w:rPr>
        <w:t xml:space="preserve"> 4/2022). </w:t>
      </w: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</w:t>
      </w:r>
    </w:p>
    <w:p w:rsidR="00F85C5F" w:rsidRPr="00F85C5F" w:rsidRDefault="00F85C5F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ind w:left="142" w:firstLine="56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5C5F">
        <w:rPr>
          <w:rFonts w:asciiTheme="minorHAnsi" w:hAnsiTheme="minorHAnsi" w:cstheme="minorHAnsi"/>
          <w:sz w:val="22"/>
          <w:szCs w:val="22"/>
        </w:rPr>
        <w:t xml:space="preserve">Súbehom sa určilo spolu </w:t>
      </w:r>
      <w:r w:rsidRPr="00F85C5F">
        <w:rPr>
          <w:rFonts w:asciiTheme="minorHAnsi" w:hAnsiTheme="minorHAnsi" w:cstheme="minorHAnsi"/>
          <w:b/>
          <w:bCs/>
          <w:sz w:val="22"/>
          <w:szCs w:val="22"/>
        </w:rPr>
        <w:t>175 000 000,00</w:t>
      </w:r>
      <w:r w:rsidRPr="00F85C5F">
        <w:rPr>
          <w:rFonts w:asciiTheme="minorHAnsi" w:hAnsiTheme="minorHAnsi" w:cstheme="minorHAnsi"/>
          <w:sz w:val="22"/>
          <w:szCs w:val="22"/>
        </w:rPr>
        <w:t xml:space="preserve"> </w:t>
      </w:r>
      <w:r w:rsidRPr="00F85C5F">
        <w:rPr>
          <w:rFonts w:asciiTheme="minorHAnsi" w:hAnsiTheme="minorHAnsi" w:cstheme="minorHAnsi"/>
          <w:b/>
          <w:bCs/>
          <w:sz w:val="22"/>
          <w:szCs w:val="22"/>
        </w:rPr>
        <w:t>dinárov</w:t>
      </w:r>
      <w:r w:rsidRPr="00F85C5F">
        <w:rPr>
          <w:rFonts w:asciiTheme="minorHAnsi" w:hAnsiTheme="minorHAnsi" w:cstheme="minorHAnsi"/>
          <w:sz w:val="22"/>
          <w:szCs w:val="22"/>
        </w:rPr>
        <w:t xml:space="preserve"> pre všetky stupne vzdelávania a v rámci toho </w:t>
      </w:r>
      <w:r w:rsidRPr="00F85C5F">
        <w:rPr>
          <w:rFonts w:asciiTheme="minorHAnsi" w:hAnsiTheme="minorHAnsi" w:cstheme="minorHAnsi"/>
          <w:b/>
          <w:bCs/>
          <w:sz w:val="22"/>
          <w:szCs w:val="22"/>
        </w:rPr>
        <w:t>37 000 000,00</w:t>
      </w:r>
      <w:r w:rsidRPr="00F85C5F">
        <w:rPr>
          <w:rFonts w:asciiTheme="minorHAnsi" w:hAnsiTheme="minorHAnsi" w:cstheme="minorHAnsi"/>
          <w:sz w:val="22"/>
          <w:szCs w:val="22"/>
        </w:rPr>
        <w:t xml:space="preserve"> </w:t>
      </w:r>
      <w:r w:rsidRPr="00F85C5F">
        <w:rPr>
          <w:rFonts w:asciiTheme="minorHAnsi" w:hAnsiTheme="minorHAnsi" w:cstheme="minorHAnsi"/>
          <w:b/>
          <w:bCs/>
          <w:sz w:val="22"/>
          <w:szCs w:val="22"/>
        </w:rPr>
        <w:t>dinárov</w:t>
      </w:r>
      <w:r w:rsidRPr="00F85C5F">
        <w:rPr>
          <w:rFonts w:asciiTheme="minorHAnsi" w:hAnsiTheme="minorHAnsi" w:cstheme="minorHAnsi"/>
          <w:sz w:val="22"/>
          <w:szCs w:val="22"/>
        </w:rPr>
        <w:t xml:space="preserve"> pre stupeň stredoškolskej výchovy a vzdelávania. Týmto rozhodnutím sa rozdeľujú finančné prostriedky pre stredoškolskú výchovu a vzdelanie v</w:t>
      </w:r>
      <w:r w:rsidR="00F85C5F">
        <w:rPr>
          <w:rFonts w:asciiTheme="minorHAnsi" w:hAnsiTheme="minorHAnsi" w:cstheme="minorHAnsi"/>
          <w:sz w:val="22"/>
          <w:szCs w:val="22"/>
        </w:rPr>
        <w:t xml:space="preserve"> sume</w:t>
      </w:r>
      <w:r w:rsidRPr="00F85C5F">
        <w:rPr>
          <w:rFonts w:asciiTheme="minorHAnsi" w:hAnsiTheme="minorHAnsi" w:cstheme="minorHAnsi"/>
          <w:sz w:val="22"/>
          <w:szCs w:val="22"/>
        </w:rPr>
        <w:t xml:space="preserve"> 36 999 800,00 dinárov a suma 200,00 dinárov zostáva nepridelená.</w:t>
      </w:r>
    </w:p>
    <w:p w:rsidR="00425CE4" w:rsidRPr="00F85C5F" w:rsidRDefault="00425CE4" w:rsidP="00425CE4">
      <w:pPr>
        <w:pStyle w:val="BlockText"/>
        <w:ind w:left="187" w:right="-12" w:firstLine="522"/>
        <w:rPr>
          <w:rFonts w:asciiTheme="minorHAnsi" w:hAnsiTheme="minorHAnsi" w:cstheme="minorHAnsi"/>
          <w:sz w:val="22"/>
          <w:szCs w:val="22"/>
        </w:rPr>
      </w:pPr>
      <w:r w:rsidRPr="00F85C5F">
        <w:rPr>
          <w:rFonts w:asciiTheme="minorHAnsi" w:hAnsiTheme="minorHAnsi" w:cstheme="minorHAnsi"/>
          <w:sz w:val="22"/>
          <w:szCs w:val="22"/>
        </w:rPr>
        <w:lastRenderedPageBreak/>
        <w:t xml:space="preserve"> Prostriedky sa schvaľujú ustanovizniam stredoškolskej výchovy a vzdelania (ďalej len: užívatelia) v súlade s predloženou tabuľkou 3. ROZVRHNUTIE PROSTRIEDKOV NA FINANCOVANIE A SPOLUFINANCOVANIE REKONŠTRUKCIE, ÚPRAVY, SANÁCIE, 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BEŽNEJ ÚDRŽBY OBJEKTOV USTANOVIZNÍ </w:t>
      </w:r>
      <w:r w:rsidRPr="00F85C5F">
        <w:rPr>
          <w:rFonts w:asciiTheme="minorHAnsi" w:hAnsiTheme="minorHAnsi" w:cstheme="minorHAnsi"/>
          <w:sz w:val="22"/>
          <w:szCs w:val="22"/>
        </w:rPr>
        <w:t xml:space="preserve"> STREDNEJ VÝCHOVY A</w:t>
      </w:r>
      <w:r w:rsidR="00F85C5F">
        <w:rPr>
          <w:rFonts w:asciiTheme="minorHAnsi" w:hAnsiTheme="minorHAnsi" w:cstheme="minorHAnsi"/>
          <w:sz w:val="22"/>
          <w:szCs w:val="22"/>
        </w:rPr>
        <w:t xml:space="preserve"> 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VZDELÁVANIA </w:t>
      </w:r>
      <w:r w:rsidRPr="00F85C5F">
        <w:rPr>
          <w:rFonts w:asciiTheme="minorHAnsi" w:hAnsiTheme="minorHAnsi" w:cstheme="minorHAnsi"/>
          <w:sz w:val="22"/>
          <w:szCs w:val="22"/>
        </w:rPr>
        <w:t>NA ÚZEMÍ AUTONÓMNEJ POKRAJINY VOJVODINY NA ROK 2022 ktorá je súčasťou tohto rozhodnutia.</w:t>
      </w:r>
    </w:p>
    <w:p w:rsidR="001F650F" w:rsidRPr="00F85C5F" w:rsidRDefault="001F650F" w:rsidP="00425CE4">
      <w:pPr>
        <w:pStyle w:val="BlockText"/>
        <w:ind w:left="187" w:right="-12" w:firstLine="522"/>
        <w:rPr>
          <w:rFonts w:asciiTheme="minorHAnsi" w:hAnsiTheme="minorHAnsi" w:cstheme="minorHAnsi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522"/>
        <w:rPr>
          <w:rFonts w:asciiTheme="minorHAnsi" w:hAnsiTheme="minorHAnsi" w:cstheme="minorHAnsi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III.</w:t>
      </w:r>
    </w:p>
    <w:p w:rsidR="00425CE4" w:rsidRPr="00F85C5F" w:rsidRDefault="00425CE4" w:rsidP="00425CE4">
      <w:pPr>
        <w:pStyle w:val="BlockText"/>
        <w:tabs>
          <w:tab w:val="left" w:pos="426"/>
        </w:tabs>
        <w:ind w:left="142" w:right="-12" w:firstLine="329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Prostriedky z bodu II. tohto rozhodnutia sú určené </w:t>
      </w:r>
      <w:proofErr w:type="spellStart"/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Pokrajinským</w:t>
      </w:r>
      <w:proofErr w:type="spellEnd"/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parlamentným uznesením o rozpočte Autonómnej </w:t>
      </w:r>
      <w:proofErr w:type="spellStart"/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pokrajiny</w:t>
      </w:r>
      <w:proofErr w:type="spellEnd"/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Vojvodiny na rok 2022, v osobitnom oddiele </w:t>
      </w:r>
      <w:proofErr w:type="spellStart"/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Pokrajinského</w:t>
      </w:r>
      <w:proofErr w:type="spellEnd"/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sekretariátu vzdelávania, predpisov, správy a národnostných menšín – národnostných spoločenstiev (ďalej len: sekretariát), to: 33 599 800,00 dinárov na Program 2004 – Stredoškolské vzdelanie, Programová aktivita 1005 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Modernizácia infraštruktúry stredných škôl, funkčná klasifikácia 920, ekonomická klasifikácia 4631 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Bežné transfery ostatným úrovniam verejnej správy, zdroj financovania 01 00 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Všeobecné príjmy a rozpočtové príjmy a 3 400 000,00 dinárov za Program 2004 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Stredné školstvo, Programová aktivita 1005 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Modernizácia infraštruktúry stredných škôl, funkčná klasifikácia 920, ekonomická klasifikácia 4632 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Kapitálové transfery iným úrovniam verejnej správy, zdroj financovania 01 00 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Všeobecné príjmy a rozpočtové príjmy a prevedené užívateľom v súlade s prílevom financií do rozpočtu AP Vojvodiny teda s likvidnými možnosťami rozpočtu.</w:t>
      </w:r>
    </w:p>
    <w:p w:rsidR="00425CE4" w:rsidRPr="00F85C5F" w:rsidRDefault="00425CE4" w:rsidP="00425CE4">
      <w:pPr>
        <w:pStyle w:val="BlockText"/>
        <w:ind w:left="142" w:right="-12" w:firstLine="567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</w:t>
      </w:r>
    </w:p>
    <w:p w:rsidR="00425CE4" w:rsidRPr="00F85C5F" w:rsidRDefault="00425CE4" w:rsidP="00425CE4">
      <w:pPr>
        <w:pStyle w:val="BlockText"/>
        <w:ind w:left="142" w:right="-12" w:firstLine="567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Užívatelia sú povinní pri obstarávaní prác postupovať v súlade s ustanoveniami Zákona o verejnom obstarávaní a podzákonnými aktami upravujúcimi verejné obstarávanie. </w:t>
      </w: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V.</w:t>
      </w:r>
    </w:p>
    <w:p w:rsidR="00425CE4" w:rsidRPr="00F85C5F" w:rsidRDefault="00425CE4" w:rsidP="00425CE4">
      <w:pPr>
        <w:pStyle w:val="BlockText"/>
        <w:ind w:left="187" w:right="-12" w:firstLine="52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Sekretariát informuje užívate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ľov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 rozdelení finančných prostriedkov, ktoré sú ustálené týmto rozhodnutím.</w:t>
      </w:r>
    </w:p>
    <w:p w:rsidR="00425CE4" w:rsidRPr="00F85C5F" w:rsidRDefault="00425CE4" w:rsidP="00425CE4">
      <w:pPr>
        <w:pStyle w:val="BlockText"/>
        <w:ind w:left="187" w:right="-12" w:firstLine="522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VI.</w:t>
      </w:r>
    </w:p>
    <w:p w:rsidR="00425CE4" w:rsidRPr="00F85C5F" w:rsidRDefault="00425CE4" w:rsidP="00425CE4">
      <w:pPr>
        <w:pStyle w:val="BlockText"/>
        <w:ind w:left="187" w:right="-12" w:firstLine="52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Sekretariát prevezme záväzok voči užívateľom na základe písomnej zmluvy.</w:t>
      </w:r>
    </w:p>
    <w:p w:rsidR="00425CE4" w:rsidRPr="00F85C5F" w:rsidRDefault="00425CE4" w:rsidP="00425CE4">
      <w:pPr>
        <w:pStyle w:val="BlockText"/>
        <w:ind w:left="187" w:right="-12" w:firstLine="522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VII.</w:t>
      </w: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Toto rozhodnutie je konečné a nemožno proti nemu podať pr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á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vn</w:t>
      </w:r>
      <w:r w:rsidR="00F85C5F">
        <w:rPr>
          <w:rFonts w:asciiTheme="minorHAnsi" w:hAnsiTheme="minorHAnsi" w:cstheme="minorHAnsi"/>
          <w:bCs/>
          <w:color w:val="000000"/>
          <w:sz w:val="22"/>
          <w:szCs w:val="22"/>
        </w:rPr>
        <w:t>y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prostriedok.</w:t>
      </w:r>
    </w:p>
    <w:p w:rsidR="00425CE4" w:rsidRPr="00F85C5F" w:rsidRDefault="00425CE4" w:rsidP="00425CE4">
      <w:pPr>
        <w:pStyle w:val="BlockText"/>
        <w:ind w:left="187" w:right="-12" w:firstLine="522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VIII.</w:t>
      </w: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</w:t>
      </w: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Za výkon tohto rozhodnutia je zodpovedný Sektor materiálnych a finančných úkonov sekretariátu.</w:t>
      </w: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25CE4" w:rsidRPr="00F85C5F" w:rsidRDefault="00425CE4" w:rsidP="00425CE4">
      <w:pPr>
        <w:pStyle w:val="BlockText"/>
        <w:ind w:left="187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Rozhodnutie doručiť:</w:t>
      </w:r>
    </w:p>
    <w:p w:rsidR="00425CE4" w:rsidRPr="00F85C5F" w:rsidRDefault="00F85C5F" w:rsidP="00F85C5F">
      <w:pPr>
        <w:pStyle w:val="BlockText"/>
        <w:ind w:left="0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1.</w:t>
      </w:r>
      <w:r w:rsidR="00425CE4"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Úsek materiálno-finančných úkonov sekretariátu </w:t>
      </w:r>
    </w:p>
    <w:p w:rsidR="00425CE4" w:rsidRPr="00F85C5F" w:rsidRDefault="00F85C5F" w:rsidP="00F85C5F">
      <w:pPr>
        <w:pStyle w:val="BlockText"/>
        <w:tabs>
          <w:tab w:val="clear" w:pos="5423"/>
          <w:tab w:val="left" w:pos="180"/>
        </w:tabs>
        <w:ind w:left="0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2.</w:t>
      </w:r>
      <w:r w:rsidR="00425CE4"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425CE4" w:rsidRPr="00F85C5F">
        <w:rPr>
          <w:rFonts w:asciiTheme="minorHAnsi" w:hAnsiTheme="minorHAnsi" w:cstheme="minorHAnsi"/>
          <w:bCs/>
          <w:color w:val="000000"/>
          <w:sz w:val="22"/>
          <w:szCs w:val="22"/>
        </w:rPr>
        <w:t>Archívu</w:t>
      </w:r>
    </w:p>
    <w:p w:rsidR="00425CE4" w:rsidRPr="00F85C5F" w:rsidRDefault="00425CE4" w:rsidP="00425CE4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6F5DA7" w:rsidRPr="00F85C5F" w:rsidTr="007251B4">
        <w:tc>
          <w:tcPr>
            <w:tcW w:w="2598" w:type="dxa"/>
            <w:tcBorders>
              <w:bottom w:val="nil"/>
            </w:tcBorders>
          </w:tcPr>
          <w:p w:rsidR="006F5DA7" w:rsidRPr="00F85C5F" w:rsidRDefault="006F5DA7" w:rsidP="007251B4">
            <w:pPr>
              <w:pStyle w:val="BodyTextInden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bCs/>
                <w:sz w:val="22"/>
                <w:szCs w:val="22"/>
              </w:rPr>
              <w:t>POKRAJINSKÝ TAJOMNÍK</w:t>
            </w:r>
          </w:p>
        </w:tc>
      </w:tr>
      <w:tr w:rsidR="006F5DA7" w:rsidRPr="00F85C5F" w:rsidTr="007251B4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6F5DA7" w:rsidRPr="00F85C5F" w:rsidRDefault="006F5DA7" w:rsidP="007251B4">
            <w:pPr>
              <w:pStyle w:val="BodyTextInden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  <w:lang w:val="sr-Cyrl-RS"/>
              </w:rPr>
            </w:pPr>
          </w:p>
        </w:tc>
      </w:tr>
      <w:tr w:rsidR="006F5DA7" w:rsidRPr="00F85C5F" w:rsidTr="007251B4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6F5DA7" w:rsidRPr="00F85C5F" w:rsidRDefault="006F5DA7" w:rsidP="007251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C5F">
              <w:rPr>
                <w:rFonts w:asciiTheme="minorHAnsi" w:hAnsiTheme="minorHAnsi" w:cstheme="minorHAnsi"/>
                <w:sz w:val="22"/>
                <w:szCs w:val="22"/>
              </w:rPr>
              <w:t xml:space="preserve">Zsolt </w:t>
            </w:r>
            <w:proofErr w:type="spellStart"/>
            <w:r w:rsidRPr="00F85C5F">
              <w:rPr>
                <w:rFonts w:asciiTheme="minorHAnsi" w:hAnsiTheme="minorHAnsi" w:cstheme="minorHAnsi"/>
                <w:sz w:val="22"/>
                <w:szCs w:val="22"/>
              </w:rPr>
              <w:t>Szakállas</w:t>
            </w:r>
            <w:proofErr w:type="spellEnd"/>
          </w:p>
        </w:tc>
      </w:tr>
    </w:tbl>
    <w:p w:rsidR="00425CE4" w:rsidRPr="00F85C5F" w:rsidRDefault="00425CE4" w:rsidP="00425CE4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AD4B3A" w:rsidRPr="00F85C5F" w:rsidRDefault="00AD4B3A">
      <w:pPr>
        <w:rPr>
          <w:rFonts w:asciiTheme="minorHAnsi" w:hAnsiTheme="minorHAnsi" w:cstheme="minorHAnsi"/>
          <w:sz w:val="22"/>
          <w:szCs w:val="22"/>
        </w:rPr>
      </w:pPr>
    </w:p>
    <w:sectPr w:rsidR="00AD4B3A" w:rsidRPr="00F85C5F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BD" w:rsidRDefault="00317CBD">
      <w:r>
        <w:separator/>
      </w:r>
    </w:p>
  </w:endnote>
  <w:endnote w:type="continuationSeparator" w:id="0">
    <w:p w:rsidR="00317CBD" w:rsidRDefault="0031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BD" w:rsidRDefault="00317CBD">
      <w:r>
        <w:separator/>
      </w:r>
    </w:p>
  </w:footnote>
  <w:footnote w:type="continuationSeparator" w:id="0">
    <w:p w:rsidR="00317CBD" w:rsidRDefault="0031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317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Pr="00E50EF2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317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19342C"/>
    <w:rsid w:val="001F650F"/>
    <w:rsid w:val="00284613"/>
    <w:rsid w:val="00317CBD"/>
    <w:rsid w:val="003F1027"/>
    <w:rsid w:val="003F4431"/>
    <w:rsid w:val="00425CE4"/>
    <w:rsid w:val="005435A3"/>
    <w:rsid w:val="006F5DA7"/>
    <w:rsid w:val="008A53DE"/>
    <w:rsid w:val="009071F4"/>
    <w:rsid w:val="00AD4B3A"/>
    <w:rsid w:val="00AE262D"/>
    <w:rsid w:val="00B46659"/>
    <w:rsid w:val="00CC7DCE"/>
    <w:rsid w:val="00F24CFD"/>
    <w:rsid w:val="00F2679C"/>
    <w:rsid w:val="00F8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82DA"/>
  <w15:docId w15:val="{11F3A286-2632-43CE-9592-A3F8B1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Zdenka Valent</cp:lastModifiedBy>
  <cp:revision>3</cp:revision>
  <cp:lastPrinted>2021-04-15T11:26:00Z</cp:lastPrinted>
  <dcterms:created xsi:type="dcterms:W3CDTF">2022-03-23T13:41:00Z</dcterms:created>
  <dcterms:modified xsi:type="dcterms:W3CDTF">2022-03-23T14:13:00Z</dcterms:modified>
</cp:coreProperties>
</file>