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2206"/>
        <w:gridCol w:w="5444"/>
      </w:tblGrid>
      <w:tr w:rsidR="00177144" w:rsidRPr="00A079C7" w:rsidTr="00177144">
        <w:trPr>
          <w:trHeight w:val="1975"/>
        </w:trPr>
        <w:tc>
          <w:tcPr>
            <w:tcW w:w="2550" w:type="dxa"/>
            <w:gridSpan w:val="2"/>
            <w:hideMark/>
          </w:tcPr>
          <w:p w:rsidR="00177144" w:rsidRPr="00A079C7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A079C7">
              <w:rPr>
                <w:noProof/>
                <w:color w:val="000000"/>
                <w:lang w:val="en-US"/>
              </w:rPr>
              <w:drawing>
                <wp:inline distT="0" distB="0" distL="0" distR="0" wp14:anchorId="78C46911" wp14:editId="21FFB607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177144" w:rsidRPr="00A079C7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color w:val="000000"/>
                <w:sz w:val="16"/>
                <w:szCs w:val="16"/>
              </w:rPr>
            </w:pPr>
          </w:p>
          <w:p w:rsidR="00177144" w:rsidRPr="00A079C7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 w:rsidRPr="00A079C7">
              <w:rPr>
                <w:rFonts w:ascii="Verdana" w:hAnsi="Verdana"/>
                <w:sz w:val="16"/>
                <w:szCs w:val="16"/>
              </w:rPr>
              <w:t>Srbská republika</w:t>
            </w:r>
          </w:p>
          <w:p w:rsidR="00177144" w:rsidRPr="00A079C7" w:rsidRDefault="00177144">
            <w:pPr>
              <w:rPr>
                <w:rFonts w:ascii="Verdana" w:hAnsi="Verdana"/>
                <w:sz w:val="16"/>
                <w:szCs w:val="16"/>
              </w:rPr>
            </w:pPr>
            <w:r w:rsidRPr="00A079C7">
              <w:rPr>
                <w:rFonts w:ascii="Verdana" w:hAnsi="Verdana"/>
                <w:sz w:val="16"/>
                <w:szCs w:val="16"/>
              </w:rPr>
              <w:t>Autonómna pokrajina Vojvodina</w:t>
            </w:r>
          </w:p>
          <w:p w:rsidR="00177144" w:rsidRPr="00A079C7" w:rsidRDefault="00177144">
            <w:pPr>
              <w:rPr>
                <w:rFonts w:ascii="Verdana" w:hAnsi="Verdana"/>
                <w:sz w:val="16"/>
                <w:szCs w:val="16"/>
              </w:rPr>
            </w:pPr>
          </w:p>
          <w:p w:rsidR="00177144" w:rsidRPr="00A079C7" w:rsidRDefault="0017714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A079C7">
              <w:rPr>
                <w:rFonts w:ascii="Verdana" w:hAnsi="Verdana"/>
                <w:b/>
                <w:sz w:val="16"/>
                <w:szCs w:val="16"/>
              </w:rPr>
              <w:t>Pokrajinský sekretariát vzdelávania, predpisov, správy</w:t>
            </w:r>
          </w:p>
          <w:p w:rsidR="00177144" w:rsidRPr="00A079C7" w:rsidRDefault="0017714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A079C7">
              <w:rPr>
                <w:rFonts w:ascii="Verdana" w:hAnsi="Verdana"/>
                <w:b/>
                <w:sz w:val="16"/>
                <w:szCs w:val="16"/>
              </w:rPr>
              <w:t>a národnostných menšín - národnostných spoločenstiev</w:t>
            </w:r>
          </w:p>
          <w:p w:rsidR="00177144" w:rsidRPr="00A079C7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</w:p>
          <w:p w:rsidR="00177144" w:rsidRPr="00A079C7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 w:rsidRPr="00A079C7">
              <w:rPr>
                <w:rFonts w:ascii="Verdana" w:hAnsi="Verdana"/>
                <w:sz w:val="16"/>
                <w:szCs w:val="16"/>
              </w:rPr>
              <w:t>Bulvár Mihajla Pupina 16 21000 Nový Sad</w:t>
            </w:r>
          </w:p>
          <w:p w:rsidR="00D2111B" w:rsidRPr="00D2111B" w:rsidRDefault="00D2111B" w:rsidP="00D2111B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  <w:lang w:val="ro-RO"/>
              </w:rPr>
            </w:pPr>
            <w:r w:rsidRPr="00D2111B">
              <w:rPr>
                <w:rFonts w:ascii="Verdana" w:hAnsi="Verdana"/>
                <w:sz w:val="16"/>
                <w:szCs w:val="16"/>
                <w:lang w:val="en-US"/>
              </w:rPr>
              <w:t xml:space="preserve">Т: +381 21  487  </w:t>
            </w:r>
            <w:r w:rsidRPr="00D2111B">
              <w:rPr>
                <w:rFonts w:ascii="Verdana" w:hAnsi="Verdana"/>
                <w:sz w:val="16"/>
                <w:szCs w:val="16"/>
                <w:lang w:val="sr-Cyrl-RS"/>
              </w:rPr>
              <w:t>4</w:t>
            </w:r>
            <w:r w:rsidR="00651DA3">
              <w:rPr>
                <w:rFonts w:ascii="Verdana" w:hAnsi="Verdana"/>
                <w:sz w:val="16"/>
                <w:szCs w:val="16"/>
                <w:lang w:val="ro-RO"/>
              </w:rPr>
              <w:t>6 7</w:t>
            </w:r>
            <w:r w:rsidRPr="00D2111B">
              <w:rPr>
                <w:rFonts w:ascii="Verdana" w:hAnsi="Verdana"/>
                <w:sz w:val="16"/>
                <w:szCs w:val="16"/>
                <w:lang w:val="ro-RO"/>
              </w:rPr>
              <w:t>7</w:t>
            </w:r>
          </w:p>
          <w:p w:rsidR="00D2111B" w:rsidRPr="00A079C7" w:rsidRDefault="00651DA3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livia.bata</w:t>
            </w:r>
            <w:r w:rsidR="00D2111B" w:rsidRPr="00D2111B">
              <w:rPr>
                <w:rFonts w:ascii="Verdana" w:hAnsi="Verdana"/>
                <w:sz w:val="16"/>
                <w:szCs w:val="16"/>
              </w:rPr>
              <w:t>@vojvodinа.gov.rs</w:t>
            </w:r>
            <w:r w:rsidR="00D2111B" w:rsidRPr="00D2111B"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</w:p>
        </w:tc>
      </w:tr>
      <w:tr w:rsidR="00177144" w:rsidRPr="00A079C7" w:rsidTr="00177144">
        <w:trPr>
          <w:trHeight w:val="305"/>
        </w:trPr>
        <w:tc>
          <w:tcPr>
            <w:tcW w:w="2550" w:type="dxa"/>
            <w:gridSpan w:val="2"/>
          </w:tcPr>
          <w:p w:rsidR="00177144" w:rsidRPr="00A079C7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06" w:type="dxa"/>
          </w:tcPr>
          <w:p w:rsidR="00177144" w:rsidRPr="00A079C7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:rsidR="00177144" w:rsidRPr="00A079C7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4"/>
                <w:szCs w:val="14"/>
              </w:rPr>
            </w:pPr>
            <w:r w:rsidRPr="00A079C7">
              <w:rPr>
                <w:rFonts w:ascii="Verdana" w:hAnsi="Verdana"/>
                <w:sz w:val="14"/>
                <w:szCs w:val="14"/>
              </w:rPr>
              <w:t xml:space="preserve">ČÍSLO: </w:t>
            </w:r>
            <w:r w:rsidR="00886230">
              <w:rPr>
                <w:rFonts w:ascii="Verdana" w:hAnsi="Verdana"/>
                <w:sz w:val="14"/>
                <w:szCs w:val="14"/>
              </w:rPr>
              <w:t>128-90-5/202</w:t>
            </w:r>
            <w:r w:rsidR="00886230">
              <w:rPr>
                <w:rFonts w:ascii="Verdana" w:hAnsi="Verdana"/>
                <w:sz w:val="14"/>
                <w:szCs w:val="14"/>
                <w:lang w:val="sr-Cyrl-RS"/>
              </w:rPr>
              <w:t>2</w:t>
            </w:r>
            <w:r w:rsidR="00D2111B" w:rsidRPr="00D2111B">
              <w:rPr>
                <w:rFonts w:ascii="Verdana" w:hAnsi="Verdana"/>
                <w:sz w:val="14"/>
                <w:szCs w:val="14"/>
              </w:rPr>
              <w:t>-05</w:t>
            </w:r>
          </w:p>
          <w:p w:rsidR="00177144" w:rsidRPr="00A079C7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5444" w:type="dxa"/>
          </w:tcPr>
          <w:p w:rsidR="00177144" w:rsidRPr="00A079C7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:rsidR="00177144" w:rsidRPr="00A079C7" w:rsidRDefault="00364B3B" w:rsidP="00886230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DÁTUM: </w:t>
            </w:r>
            <w:r w:rsidR="00321093">
              <w:rPr>
                <w:rFonts w:ascii="Verdana" w:hAnsi="Verdana"/>
                <w:sz w:val="14"/>
                <w:szCs w:val="14"/>
              </w:rPr>
              <w:t>19</w:t>
            </w:r>
            <w:bookmarkStart w:id="0" w:name="_GoBack"/>
            <w:bookmarkEnd w:id="0"/>
            <w:r w:rsidR="00886230">
              <w:rPr>
                <w:rFonts w:ascii="Verdana" w:hAnsi="Verdana"/>
                <w:sz w:val="14"/>
                <w:szCs w:val="14"/>
              </w:rPr>
              <w:t>.</w:t>
            </w:r>
            <w:r w:rsidR="00886230">
              <w:rPr>
                <w:rFonts w:ascii="Verdana" w:hAnsi="Verdana"/>
                <w:sz w:val="14"/>
                <w:szCs w:val="14"/>
                <w:lang w:val="sr-Cyrl-RS"/>
              </w:rPr>
              <w:t>01.</w:t>
            </w:r>
            <w:r w:rsidR="00886230">
              <w:rPr>
                <w:rFonts w:ascii="Verdana" w:hAnsi="Verdana"/>
                <w:sz w:val="14"/>
                <w:szCs w:val="14"/>
              </w:rPr>
              <w:t>2022</w:t>
            </w:r>
          </w:p>
        </w:tc>
      </w:tr>
      <w:tr w:rsidR="00081D50" w:rsidRPr="00A079C7" w:rsidTr="00177144">
        <w:trPr>
          <w:trHeight w:val="305"/>
        </w:trPr>
        <w:tc>
          <w:tcPr>
            <w:tcW w:w="1275" w:type="dxa"/>
          </w:tcPr>
          <w:p w:rsidR="00081D50" w:rsidRPr="00A079C7" w:rsidRDefault="00081D50" w:rsidP="001474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481" w:type="dxa"/>
            <w:gridSpan w:val="2"/>
          </w:tcPr>
          <w:p w:rsidR="00081D50" w:rsidRPr="00A079C7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44" w:type="dxa"/>
          </w:tcPr>
          <w:p w:rsidR="00081D50" w:rsidRPr="00A079C7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</w:pPr>
          </w:p>
        </w:tc>
      </w:tr>
    </w:tbl>
    <w:p w:rsidR="00D2111B" w:rsidRPr="009758C7" w:rsidRDefault="00D2111B" w:rsidP="009758C7">
      <w:pPr>
        <w:spacing w:line="276" w:lineRule="auto"/>
        <w:ind w:right="-431"/>
        <w:jc w:val="both"/>
        <w:rPr>
          <w:rFonts w:ascii="Verdana" w:hAnsi="Verdana"/>
          <w:color w:val="000000"/>
          <w:sz w:val="20"/>
          <w:szCs w:val="20"/>
          <w:lang w:val="sr-Cyrl-CS"/>
        </w:rPr>
      </w:pPr>
    </w:p>
    <w:p w:rsidR="00AD5AA9" w:rsidRPr="009758C7" w:rsidRDefault="00AD5AA9" w:rsidP="009758C7">
      <w:pPr>
        <w:ind w:left="374" w:right="94"/>
        <w:jc w:val="both"/>
        <w:rPr>
          <w:rFonts w:ascii="Verdana" w:hAnsi="Verdana"/>
          <w:sz w:val="20"/>
          <w:szCs w:val="20"/>
        </w:rPr>
      </w:pPr>
      <w:r w:rsidRPr="00A079C7">
        <w:rPr>
          <w:rFonts w:ascii="Verdana" w:hAnsi="Verdana"/>
          <w:color w:val="000000"/>
          <w:sz w:val="20"/>
          <w:szCs w:val="20"/>
        </w:rPr>
        <w:t xml:space="preserve">Podľa článku 6 odsek 1 </w:t>
      </w:r>
      <w:r w:rsidRPr="00A079C7">
        <w:rPr>
          <w:rFonts w:ascii="Verdana" w:hAnsi="Verdana"/>
          <w:sz w:val="20"/>
          <w:szCs w:val="20"/>
        </w:rPr>
        <w:t xml:space="preserve">Pokrajinského parlamentného uznesenia o prideľovaní rozpočtových prostriedkov orgánom a organizáciám, v </w:t>
      </w:r>
      <w:r w:rsidR="00FD2E7F" w:rsidRPr="00A079C7">
        <w:rPr>
          <w:rFonts w:ascii="Verdana" w:hAnsi="Verdana"/>
          <w:sz w:val="20"/>
          <w:szCs w:val="20"/>
        </w:rPr>
        <w:t xml:space="preserve">práci </w:t>
      </w:r>
      <w:r w:rsidRPr="00A079C7">
        <w:rPr>
          <w:rFonts w:ascii="Verdana" w:hAnsi="Verdana"/>
          <w:sz w:val="20"/>
          <w:szCs w:val="20"/>
        </w:rPr>
        <w:t xml:space="preserve">ktorých sa úradne používajú jazyky a písma národnostných menšín </w:t>
      </w:r>
      <w:r w:rsidR="002B620E">
        <w:rPr>
          <w:rFonts w:ascii="Verdana" w:hAnsi="Verdana"/>
          <w:sz w:val="20"/>
          <w:szCs w:val="20"/>
        </w:rPr>
        <w:t>–</w:t>
      </w:r>
      <w:r w:rsidRPr="00A079C7">
        <w:rPr>
          <w:rFonts w:ascii="Verdana" w:hAnsi="Verdana"/>
          <w:sz w:val="20"/>
          <w:szCs w:val="20"/>
        </w:rPr>
        <w:t xml:space="preserve"> národnostných spoločenstiev  (Úradný vestník APV, č. 14/15)</w:t>
      </w:r>
      <w:r w:rsidR="009758C7">
        <w:rPr>
          <w:rFonts w:ascii="Verdana" w:hAnsi="Verdana"/>
          <w:sz w:val="20"/>
          <w:szCs w:val="20"/>
        </w:rPr>
        <w:t> </w:t>
      </w:r>
      <w:r w:rsidR="007E31C8">
        <w:rPr>
          <w:rFonts w:ascii="Verdana" w:hAnsi="Verdana"/>
          <w:sz w:val="20"/>
          <w:szCs w:val="20"/>
        </w:rPr>
        <w:t xml:space="preserve">a </w:t>
      </w:r>
      <w:r w:rsidR="009758C7">
        <w:rPr>
          <w:rFonts w:ascii="Verdana" w:hAnsi="Verdana"/>
          <w:sz w:val="20"/>
          <w:szCs w:val="20"/>
        </w:rPr>
        <w:t>v súvislosti s článkami 11, 12</w:t>
      </w:r>
      <w:r w:rsidR="00B65735">
        <w:rPr>
          <w:rFonts w:ascii="Verdana" w:hAnsi="Verdana"/>
          <w:sz w:val="20"/>
          <w:szCs w:val="20"/>
        </w:rPr>
        <w:t>, 23 odsek 4, 25</w:t>
      </w:r>
      <w:r w:rsidR="009758C7">
        <w:rPr>
          <w:rFonts w:ascii="Verdana" w:hAnsi="Verdana"/>
          <w:sz w:val="20"/>
          <w:szCs w:val="20"/>
        </w:rPr>
        <w:t xml:space="preserve"> a 26 Pokrajinského parlamentného uznesenia o rozpočte Autonómnej</w:t>
      </w:r>
      <w:r w:rsidR="00B65735">
        <w:rPr>
          <w:rFonts w:ascii="Verdana" w:hAnsi="Verdana"/>
          <w:sz w:val="20"/>
          <w:szCs w:val="20"/>
        </w:rPr>
        <w:t xml:space="preserve"> pokrajiny Vojvodiny na rok 202</w:t>
      </w:r>
      <w:r w:rsidR="0030354A">
        <w:rPr>
          <w:rFonts w:ascii="Verdana" w:hAnsi="Verdana"/>
          <w:sz w:val="20"/>
          <w:szCs w:val="20"/>
        </w:rPr>
        <w:t>2</w:t>
      </w:r>
      <w:r w:rsidR="00B65735">
        <w:rPr>
          <w:rFonts w:ascii="Verdana" w:hAnsi="Verdana"/>
          <w:sz w:val="20"/>
          <w:szCs w:val="20"/>
        </w:rPr>
        <w:t xml:space="preserve"> (Úradný vestník APV číslo </w:t>
      </w:r>
      <w:r w:rsidR="0030354A">
        <w:rPr>
          <w:rFonts w:ascii="Verdana" w:hAnsi="Verdana"/>
          <w:sz w:val="20"/>
          <w:szCs w:val="20"/>
        </w:rPr>
        <w:t>54</w:t>
      </w:r>
      <w:r w:rsidR="00B65735">
        <w:rPr>
          <w:rFonts w:ascii="Verdana" w:hAnsi="Verdana"/>
          <w:sz w:val="20"/>
          <w:szCs w:val="20"/>
        </w:rPr>
        <w:t>/202</w:t>
      </w:r>
      <w:r w:rsidR="0030354A">
        <w:rPr>
          <w:rFonts w:ascii="Verdana" w:hAnsi="Verdana"/>
          <w:sz w:val="20"/>
          <w:szCs w:val="20"/>
        </w:rPr>
        <w:t>1</w:t>
      </w:r>
      <w:r w:rsidR="009758C7">
        <w:rPr>
          <w:rFonts w:ascii="Verdana" w:hAnsi="Verdana"/>
          <w:sz w:val="20"/>
          <w:szCs w:val="20"/>
        </w:rPr>
        <w:t>)</w:t>
      </w:r>
      <w:r w:rsidR="00FD2E7F">
        <w:rPr>
          <w:rFonts w:ascii="Verdana" w:hAnsi="Verdana"/>
          <w:sz w:val="20"/>
          <w:szCs w:val="20"/>
        </w:rPr>
        <w:t xml:space="preserve"> a rozhodnutia Pokrajinského tajomníka vzdelávania, predpisov, správy a národnostných menšín – národnostných spoločenstiev číslo: 128-377/2020-1 z 8.12.2020</w:t>
      </w:r>
      <w:r w:rsidR="009758C7">
        <w:rPr>
          <w:rFonts w:ascii="Verdana" w:hAnsi="Verdana"/>
          <w:sz w:val="20"/>
          <w:szCs w:val="20"/>
        </w:rPr>
        <w:t xml:space="preserve">, </w:t>
      </w:r>
      <w:r w:rsidRPr="00A079C7">
        <w:rPr>
          <w:rFonts w:ascii="Verdana" w:hAnsi="Verdana"/>
          <w:sz w:val="20"/>
          <w:szCs w:val="20"/>
        </w:rPr>
        <w:t xml:space="preserve">Pokrajinský sekretariát vzdelávania, predpisov, správy a národnostných menšín </w:t>
      </w:r>
      <w:r w:rsidR="00FD2E7F">
        <w:rPr>
          <w:rFonts w:ascii="Verdana" w:hAnsi="Verdana"/>
          <w:sz w:val="20"/>
          <w:szCs w:val="20"/>
        </w:rPr>
        <w:t>–</w:t>
      </w:r>
      <w:r w:rsidRPr="00A079C7">
        <w:rPr>
          <w:rFonts w:ascii="Verdana" w:hAnsi="Verdana"/>
          <w:sz w:val="20"/>
          <w:szCs w:val="20"/>
        </w:rPr>
        <w:t xml:space="preserve"> národnostných spoločenstiev </w:t>
      </w:r>
      <w:r w:rsidR="00FD2E7F">
        <w:rPr>
          <w:rFonts w:ascii="Verdana" w:hAnsi="Verdana"/>
          <w:sz w:val="20"/>
          <w:szCs w:val="20"/>
        </w:rPr>
        <w:t>vypisuje</w:t>
      </w:r>
    </w:p>
    <w:p w:rsidR="00AD5AA9" w:rsidRPr="00A079C7" w:rsidRDefault="00AD5AA9" w:rsidP="00AD5AA9">
      <w:pPr>
        <w:ind w:left="374" w:right="94"/>
        <w:jc w:val="center"/>
        <w:rPr>
          <w:rFonts w:ascii="Verdana" w:hAnsi="Verdana"/>
          <w:color w:val="000000" w:themeColor="text1"/>
          <w:sz w:val="20"/>
          <w:szCs w:val="20"/>
          <w:lang w:val="sr-Cyrl-CS"/>
        </w:rPr>
      </w:pPr>
    </w:p>
    <w:p w:rsidR="00AD5AA9" w:rsidRPr="00A079C7" w:rsidRDefault="00AD5AA9" w:rsidP="00AD5AA9">
      <w:pPr>
        <w:ind w:left="374" w:right="94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A079C7">
        <w:rPr>
          <w:rFonts w:ascii="Verdana" w:hAnsi="Verdana"/>
          <w:color w:val="000000" w:themeColor="text1"/>
          <w:sz w:val="20"/>
          <w:szCs w:val="20"/>
        </w:rPr>
        <w:t xml:space="preserve">  </w:t>
      </w:r>
    </w:p>
    <w:p w:rsidR="00AD5AA9" w:rsidRPr="00CC645F" w:rsidRDefault="00AD5AA9" w:rsidP="00CC645F">
      <w:pPr>
        <w:ind w:left="374" w:right="94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A079C7">
        <w:rPr>
          <w:rFonts w:ascii="Verdana" w:hAnsi="Verdana"/>
          <w:b/>
          <w:color w:val="000000" w:themeColor="text1"/>
          <w:sz w:val="20"/>
          <w:szCs w:val="20"/>
        </w:rPr>
        <w:t>S Ú B E H</w:t>
      </w:r>
    </w:p>
    <w:p w:rsidR="00AD5AA9" w:rsidRPr="00A079C7" w:rsidRDefault="00AD5AA9" w:rsidP="00AD5AA9">
      <w:pPr>
        <w:ind w:left="374" w:right="94"/>
        <w:jc w:val="center"/>
        <w:rPr>
          <w:rFonts w:ascii="Verdana" w:hAnsi="Verdana"/>
          <w:color w:val="000000" w:themeColor="text1"/>
          <w:sz w:val="20"/>
          <w:szCs w:val="20"/>
          <w:lang w:val="sr-Cyrl-CS"/>
        </w:rPr>
      </w:pPr>
    </w:p>
    <w:p w:rsidR="00B65735" w:rsidRDefault="00AD5AA9" w:rsidP="00A079C7">
      <w:pPr>
        <w:ind w:left="374" w:right="94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A079C7">
        <w:rPr>
          <w:rFonts w:ascii="Verdana" w:hAnsi="Verdana"/>
          <w:b/>
          <w:color w:val="000000" w:themeColor="text1"/>
          <w:sz w:val="20"/>
          <w:szCs w:val="20"/>
        </w:rPr>
        <w:t>na pride</w:t>
      </w:r>
      <w:r w:rsidR="00FD2E7F">
        <w:rPr>
          <w:rFonts w:ascii="Verdana" w:hAnsi="Verdana"/>
          <w:b/>
          <w:color w:val="000000" w:themeColor="text1"/>
          <w:sz w:val="20"/>
          <w:szCs w:val="20"/>
        </w:rPr>
        <w:t>lenie</w:t>
      </w:r>
      <w:r w:rsidRPr="00A079C7">
        <w:rPr>
          <w:rFonts w:ascii="Verdana" w:hAnsi="Verdana"/>
          <w:b/>
          <w:color w:val="000000" w:themeColor="text1"/>
          <w:sz w:val="20"/>
          <w:szCs w:val="20"/>
        </w:rPr>
        <w:t xml:space="preserve"> rozp</w:t>
      </w:r>
      <w:r w:rsidR="00A079C7" w:rsidRPr="00A079C7">
        <w:rPr>
          <w:rFonts w:ascii="Verdana" w:hAnsi="Verdana"/>
          <w:b/>
          <w:color w:val="000000" w:themeColor="text1"/>
          <w:sz w:val="20"/>
          <w:szCs w:val="20"/>
        </w:rPr>
        <w:t xml:space="preserve">očtových prostriedkov orgánom </w:t>
      </w:r>
    </w:p>
    <w:p w:rsidR="00B65735" w:rsidRDefault="00AD5AA9" w:rsidP="00A079C7">
      <w:pPr>
        <w:ind w:left="374" w:right="94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A079C7">
        <w:rPr>
          <w:rFonts w:ascii="Verdana" w:hAnsi="Verdana"/>
          <w:b/>
          <w:color w:val="000000" w:themeColor="text1"/>
          <w:sz w:val="20"/>
          <w:szCs w:val="20"/>
        </w:rPr>
        <w:t>a organizáciám v A</w:t>
      </w:r>
      <w:r w:rsidR="00A079C7" w:rsidRPr="00A079C7">
        <w:rPr>
          <w:rFonts w:ascii="Verdana" w:hAnsi="Verdana"/>
          <w:b/>
          <w:color w:val="000000" w:themeColor="text1"/>
          <w:sz w:val="20"/>
          <w:szCs w:val="20"/>
        </w:rPr>
        <w:t>utonómnej pokrajine Vojvodine</w:t>
      </w:r>
      <w:r w:rsidR="00B65735">
        <w:rPr>
          <w:rFonts w:ascii="Verdana" w:hAnsi="Verdana"/>
          <w:b/>
          <w:color w:val="000000" w:themeColor="text1"/>
          <w:sz w:val="20"/>
          <w:szCs w:val="20"/>
        </w:rPr>
        <w:t>,</w:t>
      </w:r>
    </w:p>
    <w:p w:rsidR="00AD5AA9" w:rsidRPr="00A079C7" w:rsidRDefault="00A079C7" w:rsidP="00A079C7">
      <w:pPr>
        <w:ind w:left="374" w:right="94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A079C7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AD5AA9" w:rsidRPr="00A079C7">
        <w:rPr>
          <w:rFonts w:ascii="Verdana" w:hAnsi="Verdana"/>
          <w:b/>
          <w:color w:val="000000" w:themeColor="text1"/>
          <w:sz w:val="20"/>
          <w:szCs w:val="20"/>
        </w:rPr>
        <w:t xml:space="preserve">v </w:t>
      </w:r>
      <w:r w:rsidR="00FD2E7F" w:rsidRPr="00A079C7">
        <w:rPr>
          <w:rFonts w:ascii="Verdana" w:hAnsi="Verdana"/>
          <w:b/>
          <w:color w:val="000000" w:themeColor="text1"/>
          <w:sz w:val="20"/>
          <w:szCs w:val="20"/>
        </w:rPr>
        <w:t xml:space="preserve">práci </w:t>
      </w:r>
      <w:r w:rsidR="00AD5AA9" w:rsidRPr="00A079C7">
        <w:rPr>
          <w:rFonts w:ascii="Verdana" w:hAnsi="Verdana"/>
          <w:b/>
          <w:color w:val="000000" w:themeColor="text1"/>
          <w:sz w:val="20"/>
          <w:szCs w:val="20"/>
        </w:rPr>
        <w:t>ktorých sa úradne používajú jazyky a písma národnostných menšín - národno</w:t>
      </w:r>
      <w:r w:rsidR="00B65735">
        <w:rPr>
          <w:rFonts w:ascii="Verdana" w:hAnsi="Verdana"/>
          <w:b/>
          <w:color w:val="000000" w:themeColor="text1"/>
          <w:sz w:val="20"/>
          <w:szCs w:val="20"/>
        </w:rPr>
        <w:t>stných spoločenstiev na rok 202</w:t>
      </w:r>
      <w:r w:rsidR="0030354A">
        <w:rPr>
          <w:rFonts w:ascii="Verdana" w:hAnsi="Verdana"/>
          <w:b/>
          <w:color w:val="000000" w:themeColor="text1"/>
          <w:sz w:val="20"/>
          <w:szCs w:val="20"/>
        </w:rPr>
        <w:t>2</w:t>
      </w:r>
      <w:r w:rsidR="00AD5AA9" w:rsidRPr="00A079C7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</w:p>
    <w:p w:rsidR="00AD5AA9" w:rsidRPr="00A079C7" w:rsidRDefault="00AD5AA9" w:rsidP="00AD5AA9">
      <w:pPr>
        <w:ind w:right="94"/>
        <w:jc w:val="both"/>
        <w:rPr>
          <w:rFonts w:ascii="Verdana" w:hAnsi="Verdana"/>
          <w:color w:val="000000" w:themeColor="text1"/>
          <w:sz w:val="20"/>
          <w:szCs w:val="20"/>
          <w:lang w:val="sr-Cyrl-CS"/>
        </w:rPr>
      </w:pPr>
    </w:p>
    <w:p w:rsidR="00AD5AA9" w:rsidRPr="00A079C7" w:rsidRDefault="00AD5AA9" w:rsidP="00AD5AA9">
      <w:pPr>
        <w:ind w:left="374" w:right="94"/>
        <w:jc w:val="both"/>
        <w:rPr>
          <w:rFonts w:ascii="Verdana" w:hAnsi="Verdana"/>
          <w:color w:val="000000" w:themeColor="text1"/>
          <w:sz w:val="20"/>
          <w:szCs w:val="20"/>
          <w:lang w:val="sr-Cyrl-CS"/>
        </w:rPr>
      </w:pPr>
    </w:p>
    <w:p w:rsidR="00AD5AA9" w:rsidRPr="00A079C7" w:rsidRDefault="00CC645F" w:rsidP="00AD5AA9">
      <w:pPr>
        <w:ind w:left="374" w:right="94" w:firstLine="34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Finančné prostriedky vo výške 7.500.</w:t>
      </w:r>
      <w:r w:rsidR="00AD5AA9" w:rsidRPr="00A079C7">
        <w:rPr>
          <w:rFonts w:ascii="Verdana" w:hAnsi="Verdana"/>
          <w:b/>
          <w:sz w:val="20"/>
          <w:szCs w:val="20"/>
        </w:rPr>
        <w:t>000,00 dinárov</w:t>
      </w:r>
      <w:r w:rsidR="00AD5AA9" w:rsidRPr="00A079C7">
        <w:rPr>
          <w:rFonts w:ascii="Verdana" w:hAnsi="Verdana"/>
          <w:sz w:val="20"/>
          <w:szCs w:val="20"/>
        </w:rPr>
        <w:t xml:space="preserve"> </w:t>
      </w:r>
      <w:r w:rsidR="001D44A5">
        <w:rPr>
          <w:rFonts w:ascii="Verdana" w:hAnsi="Verdana"/>
          <w:sz w:val="20"/>
          <w:szCs w:val="20"/>
        </w:rPr>
        <w:t xml:space="preserve">sa </w:t>
      </w:r>
      <w:r w:rsidR="00FD2E7F">
        <w:rPr>
          <w:rFonts w:ascii="Verdana" w:hAnsi="Verdana"/>
          <w:sz w:val="20"/>
          <w:szCs w:val="20"/>
        </w:rPr>
        <w:t>prideľujú</w:t>
      </w:r>
      <w:r w:rsidR="001D44A5">
        <w:rPr>
          <w:rFonts w:ascii="Verdana" w:hAnsi="Verdana"/>
          <w:sz w:val="20"/>
          <w:szCs w:val="20"/>
        </w:rPr>
        <w:t xml:space="preserve"> na zlepšenie uskutočnenia</w:t>
      </w:r>
      <w:r w:rsidR="00AD5AA9" w:rsidRPr="00A079C7">
        <w:rPr>
          <w:rFonts w:ascii="Verdana" w:hAnsi="Verdana"/>
          <w:sz w:val="20"/>
          <w:szCs w:val="20"/>
        </w:rPr>
        <w:t xml:space="preserve"> práva na úradné používanie jazykov a písem národnostných menšín - národnostných spoločenstiev v Autonómnej pokrajine Vojvodine.</w:t>
      </w:r>
    </w:p>
    <w:p w:rsidR="00AD5AA9" w:rsidRPr="00A079C7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A079C7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</w:rPr>
      </w:pPr>
      <w:r w:rsidRPr="00A079C7">
        <w:rPr>
          <w:rFonts w:ascii="Verdana" w:hAnsi="Verdana"/>
          <w:b/>
          <w:sz w:val="20"/>
          <w:szCs w:val="20"/>
        </w:rPr>
        <w:t>Právo účasti na súbehu majú:</w:t>
      </w:r>
    </w:p>
    <w:p w:rsidR="00AD5AA9" w:rsidRPr="00A079C7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A079C7" w:rsidRDefault="00AD5AA9" w:rsidP="00AD5AA9">
      <w:pPr>
        <w:ind w:left="374" w:right="94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A079C7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A079C7">
        <w:rPr>
          <w:rFonts w:ascii="Verdana" w:hAnsi="Verdana"/>
          <w:sz w:val="20"/>
          <w:szCs w:val="20"/>
        </w:rPr>
        <w:t xml:space="preserve">orgány jednotiek </w:t>
      </w:r>
      <w:r w:rsidR="00FD2E7F">
        <w:rPr>
          <w:rFonts w:ascii="Verdana" w:hAnsi="Verdana"/>
          <w:sz w:val="20"/>
          <w:szCs w:val="20"/>
        </w:rPr>
        <w:t>lokálnej</w:t>
      </w:r>
      <w:r w:rsidRPr="00A079C7">
        <w:rPr>
          <w:rFonts w:ascii="Verdana" w:hAnsi="Verdana"/>
          <w:sz w:val="20"/>
          <w:szCs w:val="20"/>
        </w:rPr>
        <w:t xml:space="preserve"> samosprávy z územia Autonómnej pokrajiny Vojvodiny, v ktorých štatút mesta alebo obce určuje úradné používanie jazykov a písem národnostných menšín </w:t>
      </w:r>
      <w:r w:rsidR="002B620E">
        <w:rPr>
          <w:rFonts w:ascii="Verdana" w:hAnsi="Verdana"/>
          <w:sz w:val="20"/>
          <w:szCs w:val="20"/>
        </w:rPr>
        <w:t>–</w:t>
      </w:r>
      <w:r w:rsidRPr="00A079C7">
        <w:rPr>
          <w:rFonts w:ascii="Verdana" w:hAnsi="Verdana"/>
          <w:sz w:val="20"/>
          <w:szCs w:val="20"/>
        </w:rPr>
        <w:t xml:space="preserve"> národnostných spoločenstiev na celom území územnej samosprávnej jednotky alebo v sídlach na jej území;</w:t>
      </w:r>
    </w:p>
    <w:p w:rsidR="00AD5AA9" w:rsidRPr="00A079C7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A079C7">
        <w:rPr>
          <w:rFonts w:ascii="Verdana" w:hAnsi="Verdana"/>
          <w:sz w:val="20"/>
          <w:szCs w:val="20"/>
        </w:rPr>
        <w:t>miestne spoločenstv</w:t>
      </w:r>
      <w:r w:rsidR="00FD2E7F">
        <w:rPr>
          <w:rFonts w:ascii="Verdana" w:hAnsi="Verdana"/>
          <w:sz w:val="20"/>
          <w:szCs w:val="20"/>
        </w:rPr>
        <w:t>á</w:t>
      </w:r>
      <w:r w:rsidRPr="00A079C7">
        <w:rPr>
          <w:rFonts w:ascii="Verdana" w:hAnsi="Verdana"/>
          <w:sz w:val="20"/>
          <w:szCs w:val="20"/>
        </w:rPr>
        <w:t xml:space="preserve"> na území miest a obcí uvedených v alinei 1;</w:t>
      </w:r>
    </w:p>
    <w:p w:rsidR="00AD5AA9" w:rsidRPr="00A079C7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A079C7">
        <w:rPr>
          <w:rFonts w:ascii="Verdana" w:hAnsi="Verdana"/>
          <w:sz w:val="20"/>
          <w:szCs w:val="20"/>
        </w:rPr>
        <w:t xml:space="preserve">iné orgány, organizácie, služby a </w:t>
      </w:r>
      <w:r w:rsidR="003D4BF4">
        <w:rPr>
          <w:rFonts w:ascii="Verdana" w:hAnsi="Verdana"/>
          <w:sz w:val="20"/>
          <w:szCs w:val="20"/>
        </w:rPr>
        <w:t>ustanovizne</w:t>
      </w:r>
      <w:r w:rsidRPr="00A079C7">
        <w:rPr>
          <w:rFonts w:ascii="Verdana" w:hAnsi="Verdana"/>
          <w:sz w:val="20"/>
          <w:szCs w:val="20"/>
        </w:rPr>
        <w:t>, používa</w:t>
      </w:r>
      <w:r w:rsidR="00A079C7" w:rsidRPr="00A079C7">
        <w:rPr>
          <w:rFonts w:ascii="Verdana" w:hAnsi="Verdana"/>
          <w:sz w:val="20"/>
          <w:szCs w:val="20"/>
        </w:rPr>
        <w:t>telia rozpočtových prostriedkov</w:t>
      </w:r>
      <w:r w:rsidRPr="00A079C7">
        <w:rPr>
          <w:rFonts w:ascii="Verdana" w:hAnsi="Verdana"/>
          <w:sz w:val="20"/>
          <w:szCs w:val="20"/>
        </w:rPr>
        <w:t xml:space="preserve"> </w:t>
      </w:r>
      <w:r w:rsidR="00A079C7" w:rsidRPr="00A079C7">
        <w:rPr>
          <w:rFonts w:ascii="Verdana" w:hAnsi="Verdana"/>
          <w:sz w:val="20"/>
          <w:szCs w:val="20"/>
        </w:rPr>
        <w:t>čo</w:t>
      </w:r>
      <w:r w:rsidRPr="00A079C7">
        <w:rPr>
          <w:rFonts w:ascii="Verdana" w:hAnsi="Verdana"/>
          <w:sz w:val="20"/>
          <w:szCs w:val="20"/>
        </w:rPr>
        <w:t xml:space="preserve"> majú  sídlo na území </w:t>
      </w:r>
      <w:r w:rsidR="003D4BF4">
        <w:rPr>
          <w:rFonts w:ascii="Verdana" w:hAnsi="Verdana"/>
          <w:sz w:val="20"/>
          <w:szCs w:val="20"/>
        </w:rPr>
        <w:t>lokálnej</w:t>
      </w:r>
      <w:r w:rsidRPr="00A079C7">
        <w:rPr>
          <w:rFonts w:ascii="Verdana" w:hAnsi="Verdana"/>
          <w:sz w:val="20"/>
          <w:szCs w:val="20"/>
        </w:rPr>
        <w:t xml:space="preserve"> samosprávy alebo vykonávajú činnosť na území </w:t>
      </w:r>
      <w:r w:rsidR="003D4BF4">
        <w:rPr>
          <w:rFonts w:ascii="Verdana" w:hAnsi="Verdana"/>
          <w:sz w:val="20"/>
          <w:szCs w:val="20"/>
        </w:rPr>
        <w:t>lokálnej</w:t>
      </w:r>
      <w:r w:rsidRPr="00A079C7">
        <w:rPr>
          <w:rFonts w:ascii="Verdana" w:hAnsi="Verdana"/>
          <w:sz w:val="20"/>
          <w:szCs w:val="20"/>
        </w:rPr>
        <w:t xml:space="preserve"> samosprávy uvedenej v alinei 1.</w:t>
      </w:r>
    </w:p>
    <w:p w:rsidR="00AD5AA9" w:rsidRPr="00A079C7" w:rsidRDefault="00AD5AA9" w:rsidP="00AD5AA9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3D4BF4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B65735">
        <w:rPr>
          <w:rFonts w:ascii="Verdana" w:hAnsi="Verdana"/>
          <w:b/>
          <w:sz w:val="20"/>
          <w:szCs w:val="20"/>
        </w:rPr>
        <w:t xml:space="preserve">Finančné prostriedky </w:t>
      </w:r>
      <w:r w:rsidR="003D4BF4">
        <w:rPr>
          <w:rFonts w:ascii="Verdana" w:hAnsi="Verdana"/>
          <w:b/>
          <w:sz w:val="20"/>
          <w:szCs w:val="20"/>
        </w:rPr>
        <w:t>sa prideľujú</w:t>
      </w:r>
      <w:r w:rsidRPr="00B65735">
        <w:rPr>
          <w:rFonts w:ascii="Verdana" w:hAnsi="Verdana"/>
          <w:b/>
          <w:sz w:val="20"/>
          <w:szCs w:val="20"/>
        </w:rPr>
        <w:t xml:space="preserve"> </w:t>
      </w:r>
      <w:r w:rsidRPr="003D4BF4">
        <w:rPr>
          <w:rFonts w:ascii="Verdana" w:hAnsi="Verdana"/>
          <w:sz w:val="20"/>
          <w:szCs w:val="20"/>
        </w:rPr>
        <w:t>na financovanie alebo účasť na financovaní:</w:t>
      </w:r>
    </w:p>
    <w:p w:rsidR="00AD5AA9" w:rsidRPr="00A079C7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0560D4" w:rsidRPr="00A079C7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A079C7">
        <w:rPr>
          <w:rFonts w:ascii="Verdana" w:hAnsi="Verdana"/>
          <w:sz w:val="20"/>
          <w:szCs w:val="20"/>
        </w:rPr>
        <w:t>nákladov na v</w:t>
      </w:r>
      <w:r w:rsidR="003D4BF4">
        <w:rPr>
          <w:rFonts w:ascii="Verdana" w:hAnsi="Verdana"/>
          <w:sz w:val="20"/>
          <w:szCs w:val="20"/>
        </w:rPr>
        <w:t>ypracovanie</w:t>
      </w:r>
      <w:r w:rsidR="00A079C7" w:rsidRPr="00A079C7">
        <w:rPr>
          <w:rFonts w:ascii="Verdana" w:hAnsi="Verdana"/>
          <w:sz w:val="20"/>
          <w:szCs w:val="20"/>
        </w:rPr>
        <w:t xml:space="preserve"> a </w:t>
      </w:r>
      <w:r w:rsidR="003D4BF4">
        <w:rPr>
          <w:rFonts w:ascii="Verdana" w:hAnsi="Verdana"/>
          <w:sz w:val="20"/>
          <w:szCs w:val="20"/>
        </w:rPr>
        <w:t>vyvesenie</w:t>
      </w:r>
      <w:r w:rsidR="00A079C7" w:rsidRPr="00A079C7">
        <w:rPr>
          <w:rFonts w:ascii="Verdana" w:hAnsi="Verdana"/>
          <w:sz w:val="20"/>
          <w:szCs w:val="20"/>
        </w:rPr>
        <w:t xml:space="preserve"> tabúľ</w:t>
      </w:r>
      <w:r w:rsidRPr="00A079C7">
        <w:rPr>
          <w:rFonts w:ascii="Verdana" w:hAnsi="Verdana"/>
          <w:sz w:val="20"/>
          <w:szCs w:val="20"/>
        </w:rPr>
        <w:t xml:space="preserve"> s názvom orgánov a organizácií, názvom osád a iný</w:t>
      </w:r>
      <w:r w:rsidR="003D4BF4">
        <w:rPr>
          <w:rFonts w:ascii="Verdana" w:hAnsi="Verdana"/>
          <w:sz w:val="20"/>
          <w:szCs w:val="20"/>
        </w:rPr>
        <w:t>ch</w:t>
      </w:r>
      <w:r w:rsidRPr="00A079C7">
        <w:rPr>
          <w:rFonts w:ascii="Verdana" w:hAnsi="Verdana"/>
          <w:sz w:val="20"/>
          <w:szCs w:val="20"/>
        </w:rPr>
        <w:t xml:space="preserve"> zemepisný</w:t>
      </w:r>
      <w:r w:rsidR="003D4BF4">
        <w:rPr>
          <w:rFonts w:ascii="Verdana" w:hAnsi="Verdana"/>
          <w:sz w:val="20"/>
          <w:szCs w:val="20"/>
        </w:rPr>
        <w:t>ch</w:t>
      </w:r>
      <w:r w:rsidRPr="00A079C7">
        <w:rPr>
          <w:rFonts w:ascii="Verdana" w:hAnsi="Verdana"/>
          <w:sz w:val="20"/>
          <w:szCs w:val="20"/>
        </w:rPr>
        <w:t xml:space="preserve"> názvo</w:t>
      </w:r>
      <w:r w:rsidR="003D4BF4">
        <w:rPr>
          <w:rFonts w:ascii="Verdana" w:hAnsi="Verdana"/>
          <w:sz w:val="20"/>
          <w:szCs w:val="20"/>
        </w:rPr>
        <w:t>v</w:t>
      </w:r>
      <w:r w:rsidRPr="00A079C7">
        <w:rPr>
          <w:rFonts w:ascii="Verdana" w:hAnsi="Verdana"/>
          <w:sz w:val="20"/>
          <w:szCs w:val="20"/>
        </w:rPr>
        <w:t xml:space="preserve"> na cestách, názvom ulíc a námestí, ako aj s inými verejnými </w:t>
      </w:r>
      <w:r w:rsidR="00A079C7" w:rsidRPr="00A079C7">
        <w:rPr>
          <w:rFonts w:ascii="Verdana" w:hAnsi="Verdana"/>
          <w:sz w:val="20"/>
          <w:szCs w:val="20"/>
        </w:rPr>
        <w:t>oznámeniami</w:t>
      </w:r>
      <w:r w:rsidRPr="00A079C7">
        <w:rPr>
          <w:rFonts w:ascii="Verdana" w:hAnsi="Verdana"/>
          <w:sz w:val="20"/>
          <w:szCs w:val="20"/>
        </w:rPr>
        <w:t xml:space="preserve"> a upozorneniami </w:t>
      </w:r>
      <w:r w:rsidR="003D4BF4">
        <w:rPr>
          <w:rFonts w:ascii="Verdana" w:hAnsi="Verdana"/>
          <w:sz w:val="20"/>
          <w:szCs w:val="20"/>
        </w:rPr>
        <w:t>vypísanými</w:t>
      </w:r>
      <w:r w:rsidRPr="00A079C7">
        <w:rPr>
          <w:rFonts w:ascii="Verdana" w:hAnsi="Verdana"/>
          <w:sz w:val="20"/>
          <w:szCs w:val="20"/>
        </w:rPr>
        <w:t xml:space="preserve"> aj v jazykoch národnostných menšín - národnostných spoločenstiev, ktoré s</w:t>
      </w:r>
      <w:r w:rsidR="003D4BF4">
        <w:rPr>
          <w:rFonts w:ascii="Verdana" w:hAnsi="Verdana"/>
          <w:sz w:val="20"/>
          <w:szCs w:val="20"/>
        </w:rPr>
        <w:t>ú v úradnom použití</w:t>
      </w:r>
      <w:r w:rsidRPr="00A079C7">
        <w:rPr>
          <w:rFonts w:ascii="Verdana" w:hAnsi="Verdana"/>
          <w:sz w:val="20"/>
          <w:szCs w:val="20"/>
        </w:rPr>
        <w:t xml:space="preserve"> v obci</w:t>
      </w:r>
      <w:r w:rsidR="003D4BF4" w:rsidRPr="00A079C7">
        <w:rPr>
          <w:rFonts w:ascii="Verdana" w:hAnsi="Verdana"/>
          <w:sz w:val="20"/>
          <w:szCs w:val="20"/>
        </w:rPr>
        <w:t>,</w:t>
      </w:r>
      <w:r w:rsidRPr="00A079C7">
        <w:rPr>
          <w:rFonts w:ascii="Verdana" w:hAnsi="Verdana"/>
          <w:sz w:val="20"/>
          <w:szCs w:val="20"/>
        </w:rPr>
        <w:t xml:space="preserve"> </w:t>
      </w:r>
      <w:r w:rsidR="003D4BF4" w:rsidRPr="00A079C7">
        <w:rPr>
          <w:rFonts w:ascii="Verdana" w:hAnsi="Verdana"/>
          <w:sz w:val="20"/>
          <w:szCs w:val="20"/>
        </w:rPr>
        <w:t xml:space="preserve">meste </w:t>
      </w:r>
      <w:r w:rsidRPr="00A079C7">
        <w:rPr>
          <w:rFonts w:ascii="Verdana" w:hAnsi="Verdana"/>
          <w:sz w:val="20"/>
          <w:szCs w:val="20"/>
        </w:rPr>
        <w:t>alebo sídl</w:t>
      </w:r>
      <w:r w:rsidR="003D4BF4">
        <w:rPr>
          <w:rFonts w:ascii="Verdana" w:hAnsi="Verdana"/>
          <w:sz w:val="20"/>
          <w:szCs w:val="20"/>
        </w:rPr>
        <w:t>isku</w:t>
      </w:r>
      <w:r w:rsidRPr="00A079C7">
        <w:rPr>
          <w:rFonts w:ascii="Verdana" w:hAnsi="Verdana"/>
          <w:sz w:val="20"/>
          <w:szCs w:val="20"/>
        </w:rPr>
        <w:t>;</w:t>
      </w:r>
    </w:p>
    <w:p w:rsidR="00AD5AA9" w:rsidRPr="00A079C7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A079C7">
        <w:rPr>
          <w:rFonts w:ascii="Verdana" w:hAnsi="Verdana"/>
          <w:sz w:val="20"/>
          <w:szCs w:val="20"/>
        </w:rPr>
        <w:lastRenderedPageBreak/>
        <w:t xml:space="preserve">na tlač dvojjazyčných alebo viacjazyčných formulárov, úradných vestníkov a iných </w:t>
      </w:r>
      <w:r w:rsidR="003D4BF4">
        <w:rPr>
          <w:rFonts w:ascii="Verdana" w:hAnsi="Verdana"/>
          <w:sz w:val="20"/>
          <w:szCs w:val="20"/>
        </w:rPr>
        <w:t xml:space="preserve">verejných </w:t>
      </w:r>
      <w:r w:rsidRPr="00A079C7">
        <w:rPr>
          <w:rFonts w:ascii="Verdana" w:hAnsi="Verdana"/>
          <w:sz w:val="20"/>
          <w:szCs w:val="20"/>
        </w:rPr>
        <w:t>publikácií;</w:t>
      </w:r>
    </w:p>
    <w:p w:rsidR="00F247CF" w:rsidRPr="00A079C7" w:rsidRDefault="00F247CF" w:rsidP="00F247CF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D10CCE" w:rsidRPr="00A079C7" w:rsidRDefault="00D10CCE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A079C7">
        <w:rPr>
          <w:rFonts w:ascii="Verdana" w:hAnsi="Verdana"/>
          <w:sz w:val="20"/>
          <w:szCs w:val="20"/>
        </w:rPr>
        <w:t xml:space="preserve">na rozvoj </w:t>
      </w:r>
      <w:r w:rsidR="00B90763" w:rsidRPr="00B90763">
        <w:rPr>
          <w:rFonts w:ascii="Verdana" w:hAnsi="Verdana"/>
          <w:sz w:val="20"/>
          <w:szCs w:val="20"/>
          <w:lang w:eastAsia="sk-SK"/>
        </w:rPr>
        <w:t>elektronického administratívneho systému</w:t>
      </w:r>
      <w:r w:rsidR="00B90763" w:rsidRPr="00B90763">
        <w:rPr>
          <w:rFonts w:ascii="Verdana" w:hAnsi="Verdana"/>
          <w:sz w:val="18"/>
          <w:szCs w:val="18"/>
          <w:lang w:eastAsia="sk-SK"/>
        </w:rPr>
        <w:t xml:space="preserve"> </w:t>
      </w:r>
      <w:r w:rsidRPr="00A079C7">
        <w:rPr>
          <w:rFonts w:ascii="Verdana" w:hAnsi="Verdana"/>
          <w:sz w:val="20"/>
          <w:szCs w:val="20"/>
        </w:rPr>
        <w:t>pre prácu v podmienkach viacjazyčnosti.</w:t>
      </w:r>
    </w:p>
    <w:p w:rsidR="00AD5AA9" w:rsidRPr="00A079C7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A079C7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3D4BF4">
        <w:rPr>
          <w:rFonts w:ascii="Verdana" w:hAnsi="Verdana"/>
          <w:b/>
          <w:sz w:val="20"/>
          <w:szCs w:val="20"/>
        </w:rPr>
        <w:t>Výška prostriedkov</w:t>
      </w:r>
      <w:r w:rsidR="00E304BA">
        <w:rPr>
          <w:rFonts w:ascii="Verdana" w:hAnsi="Verdana"/>
          <w:sz w:val="20"/>
          <w:szCs w:val="20"/>
        </w:rPr>
        <w:t xml:space="preserve"> na pridelenie</w:t>
      </w:r>
      <w:r w:rsidRPr="00A079C7">
        <w:rPr>
          <w:rFonts w:ascii="Verdana" w:hAnsi="Verdana"/>
          <w:sz w:val="20"/>
          <w:szCs w:val="20"/>
        </w:rPr>
        <w:t xml:space="preserve"> sa určuje na základe týchto kritérií: </w:t>
      </w:r>
    </w:p>
    <w:p w:rsidR="00AD5AA9" w:rsidRPr="00A079C7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A079C7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A079C7">
        <w:rPr>
          <w:rFonts w:ascii="Verdana" w:hAnsi="Verdana"/>
          <w:sz w:val="20"/>
          <w:szCs w:val="20"/>
        </w:rPr>
        <w:t>počet jazykov a písem národnostných menšín</w:t>
      </w:r>
      <w:r w:rsidR="001D3FDA">
        <w:rPr>
          <w:rFonts w:ascii="Verdana" w:hAnsi="Verdana"/>
          <w:sz w:val="20"/>
          <w:szCs w:val="20"/>
        </w:rPr>
        <w:t xml:space="preserve"> </w:t>
      </w:r>
      <w:r w:rsidRPr="00A079C7">
        <w:rPr>
          <w:rFonts w:ascii="Verdana" w:hAnsi="Verdana"/>
          <w:sz w:val="20"/>
          <w:szCs w:val="20"/>
        </w:rPr>
        <w:t>- národnostných spoločenstiev, ktoré sa úradne používajú na celom území obce, mesta alebo sídla;</w:t>
      </w:r>
    </w:p>
    <w:p w:rsidR="00AD5AA9" w:rsidRPr="00A079C7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A079C7">
        <w:rPr>
          <w:rFonts w:ascii="Verdana" w:hAnsi="Verdana"/>
          <w:sz w:val="20"/>
          <w:szCs w:val="20"/>
        </w:rPr>
        <w:t xml:space="preserve">percentuálna účasť príslušníkov národnostných menšín </w:t>
      </w:r>
      <w:r w:rsidR="001D3FDA">
        <w:rPr>
          <w:rFonts w:ascii="Verdana" w:hAnsi="Verdana"/>
          <w:sz w:val="20"/>
          <w:szCs w:val="20"/>
        </w:rPr>
        <w:t>–</w:t>
      </w:r>
      <w:r w:rsidRPr="00A079C7">
        <w:rPr>
          <w:rFonts w:ascii="Verdana" w:hAnsi="Verdana"/>
          <w:sz w:val="20"/>
          <w:szCs w:val="20"/>
        </w:rPr>
        <w:t xml:space="preserve"> národnostných spoločenstiev, ktorých jazyky a písma </w:t>
      </w:r>
      <w:r w:rsidR="001D3FDA" w:rsidRPr="00A079C7">
        <w:rPr>
          <w:rFonts w:ascii="Verdana" w:hAnsi="Verdana"/>
          <w:sz w:val="20"/>
          <w:szCs w:val="20"/>
        </w:rPr>
        <w:t xml:space="preserve">sa </w:t>
      </w:r>
      <w:r w:rsidRPr="00A079C7">
        <w:rPr>
          <w:rFonts w:ascii="Verdana" w:hAnsi="Verdana"/>
          <w:sz w:val="20"/>
          <w:szCs w:val="20"/>
        </w:rPr>
        <w:t>úradne používajú na celkovom počte obyvateľstva podľa oficiálnych údajov Republikového štatistického úradu SR na základe posledného sčítania</w:t>
      </w:r>
      <w:r w:rsidR="001D3FDA">
        <w:rPr>
          <w:rFonts w:ascii="Verdana" w:hAnsi="Verdana"/>
          <w:sz w:val="20"/>
          <w:szCs w:val="20"/>
        </w:rPr>
        <w:t xml:space="preserve"> obyvateľov</w:t>
      </w:r>
      <w:r w:rsidRPr="00A079C7">
        <w:rPr>
          <w:rFonts w:ascii="Verdana" w:hAnsi="Verdana"/>
          <w:sz w:val="20"/>
          <w:szCs w:val="20"/>
        </w:rPr>
        <w:t>;</w:t>
      </w:r>
    </w:p>
    <w:p w:rsidR="00AD5AA9" w:rsidRPr="00A079C7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A079C7">
        <w:rPr>
          <w:rFonts w:ascii="Verdana" w:hAnsi="Verdana"/>
          <w:sz w:val="20"/>
          <w:szCs w:val="20"/>
        </w:rPr>
        <w:t xml:space="preserve">celkové </w:t>
      </w:r>
      <w:r w:rsidR="001D3FDA">
        <w:rPr>
          <w:rFonts w:ascii="Verdana" w:hAnsi="Verdana"/>
          <w:sz w:val="20"/>
          <w:szCs w:val="20"/>
        </w:rPr>
        <w:t xml:space="preserve">hmotné </w:t>
      </w:r>
      <w:r w:rsidRPr="00A079C7">
        <w:rPr>
          <w:rFonts w:ascii="Verdana" w:hAnsi="Verdana"/>
          <w:sz w:val="20"/>
          <w:szCs w:val="20"/>
        </w:rPr>
        <w:t xml:space="preserve">náklady potrebné na realizáciu </w:t>
      </w:r>
      <w:r w:rsidR="001D3FDA">
        <w:rPr>
          <w:rFonts w:ascii="Verdana" w:hAnsi="Verdana"/>
          <w:sz w:val="20"/>
          <w:szCs w:val="20"/>
        </w:rPr>
        <w:t>aktivít</w:t>
      </w:r>
      <w:r w:rsidRPr="00A079C7">
        <w:rPr>
          <w:rFonts w:ascii="Verdana" w:hAnsi="Verdana"/>
          <w:sz w:val="20"/>
          <w:szCs w:val="20"/>
        </w:rPr>
        <w:t>;</w:t>
      </w:r>
    </w:p>
    <w:p w:rsidR="00AD5AA9" w:rsidRPr="00A079C7" w:rsidRDefault="001D3FDA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jestvovanie</w:t>
      </w:r>
      <w:r w:rsidR="00AD5AA9" w:rsidRPr="00A079C7">
        <w:rPr>
          <w:rFonts w:ascii="Verdana" w:hAnsi="Verdana"/>
          <w:sz w:val="20"/>
          <w:szCs w:val="20"/>
        </w:rPr>
        <w:t xml:space="preserve"> iných zdrojov financovania;</w:t>
      </w:r>
    </w:p>
    <w:p w:rsidR="00AD5AA9" w:rsidRPr="00A079C7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A079C7">
        <w:rPr>
          <w:rFonts w:ascii="Verdana" w:hAnsi="Verdana"/>
          <w:sz w:val="20"/>
          <w:szCs w:val="20"/>
        </w:rPr>
        <w:t xml:space="preserve">kontinuita vo financovaní </w:t>
      </w:r>
      <w:r w:rsidR="004B1BDD">
        <w:rPr>
          <w:rFonts w:ascii="Verdana" w:hAnsi="Verdana"/>
          <w:sz w:val="20"/>
          <w:szCs w:val="20"/>
        </w:rPr>
        <w:t>aktivity</w:t>
      </w:r>
      <w:r w:rsidRPr="00A079C7">
        <w:rPr>
          <w:rFonts w:ascii="Verdana" w:hAnsi="Verdana"/>
          <w:sz w:val="20"/>
          <w:szCs w:val="20"/>
        </w:rPr>
        <w:t xml:space="preserve"> sekretariátom</w:t>
      </w:r>
      <w:r w:rsidR="004B1BDD">
        <w:rPr>
          <w:rFonts w:ascii="Verdana" w:hAnsi="Verdana"/>
          <w:sz w:val="20"/>
          <w:szCs w:val="20"/>
        </w:rPr>
        <w:t>, resp.</w:t>
      </w:r>
      <w:r w:rsidRPr="00A079C7">
        <w:rPr>
          <w:rFonts w:ascii="Verdana" w:hAnsi="Verdana"/>
          <w:sz w:val="20"/>
          <w:szCs w:val="20"/>
        </w:rPr>
        <w:t xml:space="preserve"> či sa finančné prostriedky žiadajú po prvýkrát.</w:t>
      </w:r>
    </w:p>
    <w:p w:rsidR="00AD5AA9" w:rsidRPr="00A079C7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A079C7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A079C7" w:rsidRDefault="00900390" w:rsidP="00AD5AA9">
      <w:pPr>
        <w:ind w:left="374" w:right="94" w:firstLine="998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Lehota</w:t>
      </w:r>
      <w:r w:rsidR="00AD5AA9" w:rsidRPr="00A079C7">
        <w:rPr>
          <w:rFonts w:ascii="Verdana" w:hAnsi="Verdana"/>
          <w:b/>
          <w:sz w:val="20"/>
          <w:szCs w:val="20"/>
        </w:rPr>
        <w:t xml:space="preserve"> na predlož</w:t>
      </w:r>
      <w:r w:rsidR="00141807">
        <w:rPr>
          <w:rFonts w:ascii="Verdana" w:hAnsi="Verdana"/>
          <w:b/>
          <w:sz w:val="20"/>
          <w:szCs w:val="20"/>
        </w:rPr>
        <w:t xml:space="preserve">enie </w:t>
      </w:r>
      <w:r w:rsidR="004B1BDD">
        <w:rPr>
          <w:rFonts w:ascii="Verdana" w:hAnsi="Verdana"/>
          <w:b/>
          <w:sz w:val="20"/>
          <w:szCs w:val="20"/>
        </w:rPr>
        <w:t>prihlášky</w:t>
      </w:r>
      <w:r w:rsidR="00141807">
        <w:rPr>
          <w:rFonts w:ascii="Verdana" w:hAnsi="Verdana"/>
          <w:b/>
          <w:sz w:val="20"/>
          <w:szCs w:val="20"/>
        </w:rPr>
        <w:t xml:space="preserve"> na súbeh</w:t>
      </w:r>
      <w:r>
        <w:rPr>
          <w:rFonts w:ascii="Verdana" w:hAnsi="Verdana"/>
          <w:b/>
          <w:sz w:val="20"/>
          <w:szCs w:val="20"/>
        </w:rPr>
        <w:t xml:space="preserve"> je do </w:t>
      </w:r>
      <w:r w:rsidR="0030354A">
        <w:rPr>
          <w:rFonts w:ascii="Verdana" w:hAnsi="Verdana"/>
          <w:b/>
          <w:sz w:val="20"/>
          <w:szCs w:val="20"/>
        </w:rPr>
        <w:t>2</w:t>
      </w:r>
      <w:r w:rsidR="00B22B89">
        <w:rPr>
          <w:rFonts w:ascii="Verdana" w:hAnsi="Verdana"/>
          <w:b/>
          <w:sz w:val="20"/>
          <w:szCs w:val="20"/>
        </w:rPr>
        <w:t>1</w:t>
      </w:r>
      <w:r w:rsidR="0030354A">
        <w:rPr>
          <w:rFonts w:ascii="Verdana" w:hAnsi="Verdana"/>
          <w:b/>
          <w:sz w:val="20"/>
          <w:szCs w:val="20"/>
        </w:rPr>
        <w:t>.</w:t>
      </w:r>
      <w:r w:rsidR="00B22B89">
        <w:rPr>
          <w:rFonts w:ascii="Verdana" w:hAnsi="Verdana"/>
          <w:b/>
          <w:sz w:val="20"/>
          <w:szCs w:val="20"/>
        </w:rPr>
        <w:t xml:space="preserve"> </w:t>
      </w:r>
      <w:r w:rsidR="0030354A">
        <w:rPr>
          <w:rFonts w:ascii="Verdana" w:hAnsi="Verdana"/>
          <w:b/>
          <w:sz w:val="20"/>
          <w:szCs w:val="20"/>
        </w:rPr>
        <w:t>februára</w:t>
      </w:r>
      <w:r w:rsidR="00AD5AA9" w:rsidRPr="00A079C7">
        <w:rPr>
          <w:rFonts w:ascii="Verdana" w:hAnsi="Verdana"/>
          <w:b/>
          <w:sz w:val="20"/>
          <w:szCs w:val="20"/>
        </w:rPr>
        <w:t xml:space="preserve"> </w:t>
      </w:r>
      <w:r w:rsidR="00651161">
        <w:rPr>
          <w:rFonts w:ascii="Verdana" w:hAnsi="Verdana"/>
          <w:b/>
          <w:color w:val="000000"/>
          <w:sz w:val="20"/>
          <w:szCs w:val="20"/>
        </w:rPr>
        <w:t>202</w:t>
      </w:r>
      <w:r w:rsidR="0030354A">
        <w:rPr>
          <w:rFonts w:ascii="Verdana" w:hAnsi="Verdana"/>
          <w:b/>
          <w:color w:val="000000"/>
          <w:sz w:val="20"/>
          <w:szCs w:val="20"/>
        </w:rPr>
        <w:t>2</w:t>
      </w:r>
      <w:r w:rsidR="00651161">
        <w:rPr>
          <w:rFonts w:ascii="Verdana" w:hAnsi="Verdana"/>
          <w:b/>
          <w:color w:val="000000"/>
          <w:sz w:val="20"/>
          <w:szCs w:val="20"/>
        </w:rPr>
        <w:t>.</w:t>
      </w:r>
    </w:p>
    <w:p w:rsidR="00AD5AA9" w:rsidRPr="00A079C7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A079C7" w:rsidRDefault="004B1BDD" w:rsidP="00AD5AA9">
      <w:pPr>
        <w:ind w:left="374" w:right="94" w:firstLine="998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Prihlášky</w:t>
      </w:r>
      <w:r w:rsidR="00D422F2">
        <w:rPr>
          <w:rFonts w:ascii="Verdana" w:hAnsi="Verdana"/>
          <w:sz w:val="20"/>
          <w:szCs w:val="20"/>
        </w:rPr>
        <w:t xml:space="preserve"> na</w:t>
      </w:r>
      <w:r w:rsidR="00AD5AA9" w:rsidRPr="00A079C7">
        <w:rPr>
          <w:rFonts w:ascii="Verdana" w:hAnsi="Verdana"/>
          <w:sz w:val="20"/>
          <w:szCs w:val="20"/>
        </w:rPr>
        <w:t xml:space="preserve"> súbeh sa predkladajú výlučne na súbehových formulároch sekretariátu. Úplnú súbehovú dokumentáciu je možné prevziať v </w:t>
      </w:r>
      <w:r>
        <w:rPr>
          <w:rFonts w:ascii="Verdana" w:hAnsi="Verdana"/>
          <w:sz w:val="20"/>
          <w:szCs w:val="20"/>
        </w:rPr>
        <w:t>miestnostiach</w:t>
      </w:r>
      <w:r w:rsidR="00AD5AA9" w:rsidRPr="00A079C7">
        <w:rPr>
          <w:rFonts w:ascii="Verdana" w:hAnsi="Verdana"/>
          <w:sz w:val="20"/>
          <w:szCs w:val="20"/>
        </w:rPr>
        <w:t xml:space="preserve"> sekretariátu alebo na internetovej adrese: </w:t>
      </w:r>
      <w:hyperlink r:id="rId6" w:history="1">
        <w:r w:rsidR="00AD5AA9" w:rsidRPr="00A079C7">
          <w:rPr>
            <w:rStyle w:val="Hyperlink"/>
            <w:rFonts w:ascii="Verdana" w:hAnsi="Verdana"/>
            <w:sz w:val="20"/>
            <w:szCs w:val="20"/>
          </w:rPr>
          <w:t>www.puma.vojvodina.gov.rs</w:t>
        </w:r>
      </w:hyperlink>
    </w:p>
    <w:p w:rsidR="00AD5AA9" w:rsidRPr="00A079C7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A079C7" w:rsidRDefault="004B1BDD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4B1BDD">
        <w:rPr>
          <w:rFonts w:ascii="Verdana" w:hAnsi="Verdana"/>
          <w:sz w:val="20"/>
          <w:szCs w:val="20"/>
        </w:rPr>
        <w:t xml:space="preserve">Prihlášky </w:t>
      </w:r>
      <w:r w:rsidR="00255B6D">
        <w:rPr>
          <w:rFonts w:ascii="Verdana" w:hAnsi="Verdana"/>
          <w:sz w:val="20"/>
          <w:szCs w:val="20"/>
        </w:rPr>
        <w:t>na</w:t>
      </w:r>
      <w:r w:rsidR="00AD5AA9" w:rsidRPr="00A079C7">
        <w:rPr>
          <w:rFonts w:ascii="Verdana" w:hAnsi="Verdana"/>
          <w:sz w:val="20"/>
          <w:szCs w:val="20"/>
        </w:rPr>
        <w:t xml:space="preserve"> verejný súbeh sa predkladajú v srbskom jazyku alebo v jazyku národnostnej menšiny</w:t>
      </w:r>
      <w:r w:rsidR="007E0C82">
        <w:rPr>
          <w:rFonts w:ascii="Verdana" w:hAnsi="Verdana"/>
          <w:sz w:val="20"/>
          <w:szCs w:val="20"/>
        </w:rPr>
        <w:t xml:space="preserve"> – národnostného spoločenstva, ktoré</w:t>
      </w:r>
      <w:r w:rsidR="00AD5AA9" w:rsidRPr="00A079C7">
        <w:rPr>
          <w:rFonts w:ascii="Verdana" w:hAnsi="Verdana"/>
          <w:sz w:val="20"/>
          <w:szCs w:val="20"/>
        </w:rPr>
        <w:t xml:space="preserve"> sa úradne používajú v Autonómnej pokrajine Vojvodine.</w:t>
      </w:r>
    </w:p>
    <w:p w:rsidR="00AD5AA9" w:rsidRPr="00A079C7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A079C7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A079C7">
        <w:rPr>
          <w:rFonts w:ascii="Verdana" w:hAnsi="Verdana"/>
          <w:sz w:val="20"/>
          <w:szCs w:val="20"/>
        </w:rPr>
        <w:t xml:space="preserve">Prihlášky </w:t>
      </w:r>
      <w:r w:rsidR="004B1BDD">
        <w:rPr>
          <w:rFonts w:ascii="Verdana" w:hAnsi="Verdana"/>
          <w:sz w:val="20"/>
          <w:szCs w:val="20"/>
        </w:rPr>
        <w:t>sa p</w:t>
      </w:r>
      <w:r w:rsidRPr="00A079C7">
        <w:rPr>
          <w:rFonts w:ascii="Verdana" w:hAnsi="Verdana"/>
          <w:sz w:val="20"/>
          <w:szCs w:val="20"/>
        </w:rPr>
        <w:t>red</w:t>
      </w:r>
      <w:r w:rsidR="004B1BDD">
        <w:rPr>
          <w:rFonts w:ascii="Verdana" w:hAnsi="Verdana"/>
          <w:sz w:val="20"/>
          <w:szCs w:val="20"/>
        </w:rPr>
        <w:t>kladajú</w:t>
      </w:r>
      <w:r w:rsidRPr="00A079C7">
        <w:rPr>
          <w:rFonts w:ascii="Verdana" w:hAnsi="Verdana"/>
          <w:sz w:val="20"/>
          <w:szCs w:val="20"/>
        </w:rPr>
        <w:t xml:space="preserve"> osobne odovzdaním v spisovni pokrajinských orgánov </w:t>
      </w:r>
      <w:r w:rsidR="004B1BDD" w:rsidRPr="00A079C7">
        <w:rPr>
          <w:rFonts w:ascii="Verdana" w:hAnsi="Verdana"/>
          <w:sz w:val="20"/>
          <w:szCs w:val="20"/>
        </w:rPr>
        <w:t xml:space="preserve">správy </w:t>
      </w:r>
      <w:r w:rsidRPr="00A079C7">
        <w:rPr>
          <w:rFonts w:ascii="Verdana" w:hAnsi="Verdana"/>
          <w:sz w:val="20"/>
          <w:szCs w:val="20"/>
        </w:rPr>
        <w:t>v Novo</w:t>
      </w:r>
      <w:r w:rsidR="00215FD1">
        <w:rPr>
          <w:rFonts w:ascii="Verdana" w:hAnsi="Verdana"/>
          <w:sz w:val="20"/>
          <w:szCs w:val="20"/>
        </w:rPr>
        <w:t>m Sade (budova P</w:t>
      </w:r>
      <w:r w:rsidRPr="00A079C7">
        <w:rPr>
          <w:rFonts w:ascii="Verdana" w:hAnsi="Verdana"/>
          <w:sz w:val="20"/>
          <w:szCs w:val="20"/>
        </w:rPr>
        <w:t xml:space="preserve">okrajinskej vlády) alebo </w:t>
      </w:r>
      <w:r w:rsidR="004B1BDD">
        <w:rPr>
          <w:rFonts w:ascii="Verdana" w:hAnsi="Verdana"/>
          <w:sz w:val="20"/>
          <w:szCs w:val="20"/>
        </w:rPr>
        <w:t xml:space="preserve">sa </w:t>
      </w:r>
      <w:r w:rsidRPr="00A079C7">
        <w:rPr>
          <w:rFonts w:ascii="Verdana" w:hAnsi="Verdana"/>
          <w:sz w:val="20"/>
          <w:szCs w:val="20"/>
        </w:rPr>
        <w:t>zas</w:t>
      </w:r>
      <w:r w:rsidR="004B1BDD">
        <w:rPr>
          <w:rFonts w:ascii="Verdana" w:hAnsi="Verdana"/>
          <w:sz w:val="20"/>
          <w:szCs w:val="20"/>
        </w:rPr>
        <w:t>ielajú</w:t>
      </w:r>
      <w:r w:rsidRPr="00A079C7">
        <w:rPr>
          <w:rFonts w:ascii="Verdana" w:hAnsi="Verdana"/>
          <w:sz w:val="20"/>
          <w:szCs w:val="20"/>
        </w:rPr>
        <w:t xml:space="preserve"> poštou na adresu: Pokrajinský sekretariát vzdelávania, predpisov, správy a národnostných menšín - národnostných spoločenstiev, Bulvár Mihajla Pupina 16, </w:t>
      </w:r>
      <w:r w:rsidR="00215FD1">
        <w:rPr>
          <w:rFonts w:ascii="Verdana" w:hAnsi="Verdana"/>
          <w:sz w:val="20"/>
          <w:szCs w:val="20"/>
        </w:rPr>
        <w:t xml:space="preserve">21 000 </w:t>
      </w:r>
      <w:r w:rsidRPr="00A079C7">
        <w:rPr>
          <w:rFonts w:ascii="Verdana" w:hAnsi="Verdana"/>
          <w:sz w:val="20"/>
          <w:szCs w:val="20"/>
        </w:rPr>
        <w:t>Nový Sad</w:t>
      </w:r>
      <w:r w:rsidR="00215FD1">
        <w:rPr>
          <w:rFonts w:ascii="Verdana" w:hAnsi="Verdana"/>
          <w:sz w:val="20"/>
          <w:szCs w:val="20"/>
        </w:rPr>
        <w:t>.</w:t>
      </w:r>
      <w:r w:rsidRPr="00A079C7">
        <w:rPr>
          <w:rFonts w:ascii="Verdana" w:hAnsi="Verdana"/>
          <w:sz w:val="20"/>
          <w:szCs w:val="20"/>
        </w:rPr>
        <w:t xml:space="preserve"> </w:t>
      </w:r>
    </w:p>
    <w:p w:rsidR="00AD5AA9" w:rsidRPr="00A079C7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A079C7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A079C7">
        <w:rPr>
          <w:rFonts w:ascii="Verdana" w:hAnsi="Verdana"/>
          <w:sz w:val="20"/>
          <w:szCs w:val="20"/>
        </w:rPr>
        <w:t xml:space="preserve">Prihlášky na súbeh sa podávajú </w:t>
      </w:r>
      <w:r w:rsidRPr="00A079C7">
        <w:rPr>
          <w:rFonts w:ascii="Verdana" w:hAnsi="Verdana"/>
          <w:b/>
          <w:sz w:val="20"/>
          <w:szCs w:val="20"/>
        </w:rPr>
        <w:t>v dvoch vyhotoveniach s dvom</w:t>
      </w:r>
      <w:r w:rsidR="004B1BDD">
        <w:rPr>
          <w:rFonts w:ascii="Verdana" w:hAnsi="Verdana"/>
          <w:b/>
          <w:sz w:val="20"/>
          <w:szCs w:val="20"/>
        </w:rPr>
        <w:t>i</w:t>
      </w:r>
      <w:r w:rsidRPr="00A079C7">
        <w:rPr>
          <w:rFonts w:ascii="Verdana" w:hAnsi="Verdana"/>
          <w:b/>
          <w:sz w:val="20"/>
          <w:szCs w:val="20"/>
        </w:rPr>
        <w:t xml:space="preserve"> v</w:t>
      </w:r>
      <w:r w:rsidR="004B1BDD">
        <w:rPr>
          <w:rFonts w:ascii="Verdana" w:hAnsi="Verdana"/>
          <w:b/>
          <w:sz w:val="20"/>
          <w:szCs w:val="20"/>
        </w:rPr>
        <w:t>yhláseniami</w:t>
      </w:r>
      <w:r w:rsidRPr="00A079C7">
        <w:rPr>
          <w:rFonts w:ascii="Verdana" w:hAnsi="Verdana"/>
          <w:sz w:val="20"/>
          <w:szCs w:val="20"/>
        </w:rPr>
        <w:t xml:space="preserve"> overenými a podpísanými oprávnenou o</w:t>
      </w:r>
      <w:r w:rsidR="00215FD1">
        <w:rPr>
          <w:rFonts w:ascii="Verdana" w:hAnsi="Verdana"/>
          <w:sz w:val="20"/>
          <w:szCs w:val="20"/>
        </w:rPr>
        <w:t xml:space="preserve">sobou </w:t>
      </w:r>
      <w:r w:rsidR="004B1BDD">
        <w:rPr>
          <w:rFonts w:ascii="Verdana" w:hAnsi="Verdana"/>
          <w:sz w:val="20"/>
          <w:szCs w:val="20"/>
        </w:rPr>
        <w:t>podávateľa prihlášky</w:t>
      </w:r>
      <w:r w:rsidR="00215FD1">
        <w:rPr>
          <w:rFonts w:ascii="Verdana" w:hAnsi="Verdana"/>
          <w:sz w:val="20"/>
          <w:szCs w:val="20"/>
        </w:rPr>
        <w:t>, ak sa uchádza</w:t>
      </w:r>
      <w:r w:rsidRPr="00A079C7">
        <w:rPr>
          <w:rFonts w:ascii="Verdana" w:hAnsi="Verdana"/>
          <w:sz w:val="20"/>
          <w:szCs w:val="20"/>
        </w:rPr>
        <w:t xml:space="preserve"> na jednom základe, ak sú súčasne </w:t>
      </w:r>
      <w:r w:rsidR="00215FD1">
        <w:rPr>
          <w:rFonts w:ascii="Verdana" w:hAnsi="Verdana"/>
          <w:sz w:val="20"/>
          <w:szCs w:val="20"/>
        </w:rPr>
        <w:t>uchádza na viacerých základoch</w:t>
      </w:r>
      <w:r w:rsidRPr="00A079C7">
        <w:rPr>
          <w:rFonts w:ascii="Verdana" w:hAnsi="Verdana"/>
          <w:sz w:val="20"/>
          <w:szCs w:val="20"/>
        </w:rPr>
        <w:t xml:space="preserve">, prihlášky sa predkladajú v dvoch kópiách na každom základe a s rovnakým počtom overených vyhlásení. </w:t>
      </w:r>
    </w:p>
    <w:p w:rsidR="00AD5AA9" w:rsidRPr="00A079C7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A079C7">
        <w:rPr>
          <w:rFonts w:ascii="Verdana" w:hAnsi="Verdana"/>
          <w:sz w:val="20"/>
          <w:szCs w:val="20"/>
        </w:rPr>
        <w:t>N</w:t>
      </w:r>
      <w:r w:rsidR="00121553">
        <w:rPr>
          <w:rFonts w:ascii="Verdana" w:hAnsi="Verdana"/>
          <w:sz w:val="20"/>
          <w:szCs w:val="20"/>
        </w:rPr>
        <w:t>ebudú sa brať do úvahy oneskorené</w:t>
      </w:r>
      <w:r w:rsidRPr="00A079C7">
        <w:rPr>
          <w:rFonts w:ascii="Verdana" w:hAnsi="Verdana"/>
          <w:sz w:val="20"/>
          <w:szCs w:val="20"/>
        </w:rPr>
        <w:t xml:space="preserve"> alebo neúplné prihlášky, </w:t>
      </w:r>
      <w:r w:rsidR="008366E7">
        <w:rPr>
          <w:rFonts w:ascii="Verdana" w:hAnsi="Verdana"/>
          <w:sz w:val="20"/>
          <w:szCs w:val="20"/>
        </w:rPr>
        <w:t>v</w:t>
      </w:r>
      <w:r w:rsidR="00070D32">
        <w:rPr>
          <w:rFonts w:ascii="Verdana" w:hAnsi="Verdana"/>
          <w:sz w:val="20"/>
          <w:szCs w:val="20"/>
        </w:rPr>
        <w:t xml:space="preserve"> ktorých </w:t>
      </w:r>
      <w:r w:rsidR="008366E7">
        <w:rPr>
          <w:rFonts w:ascii="Verdana" w:hAnsi="Verdana"/>
          <w:sz w:val="20"/>
          <w:szCs w:val="20"/>
        </w:rPr>
        <w:t>nedostatok</w:t>
      </w:r>
      <w:r w:rsidR="00070D32">
        <w:rPr>
          <w:rFonts w:ascii="Verdana" w:hAnsi="Verdana"/>
          <w:sz w:val="20"/>
          <w:szCs w:val="20"/>
        </w:rPr>
        <w:t xml:space="preserve"> nie je odstránen</w:t>
      </w:r>
      <w:r w:rsidR="008366E7">
        <w:rPr>
          <w:rFonts w:ascii="Verdana" w:hAnsi="Verdana"/>
          <w:sz w:val="20"/>
          <w:szCs w:val="20"/>
        </w:rPr>
        <w:t>ý</w:t>
      </w:r>
      <w:r w:rsidRPr="00A079C7">
        <w:rPr>
          <w:rFonts w:ascii="Verdana" w:hAnsi="Verdana"/>
          <w:sz w:val="20"/>
          <w:szCs w:val="20"/>
        </w:rPr>
        <w:t xml:space="preserve"> po u</w:t>
      </w:r>
      <w:r w:rsidR="008366E7">
        <w:rPr>
          <w:rFonts w:ascii="Verdana" w:hAnsi="Verdana"/>
          <w:sz w:val="20"/>
          <w:szCs w:val="20"/>
        </w:rPr>
        <w:t>pozornení</w:t>
      </w:r>
      <w:r w:rsidRPr="00A079C7">
        <w:rPr>
          <w:rFonts w:ascii="Verdana" w:hAnsi="Verdana"/>
          <w:sz w:val="20"/>
          <w:szCs w:val="20"/>
        </w:rPr>
        <w:t>, an</w:t>
      </w:r>
      <w:r w:rsidR="00070D32">
        <w:rPr>
          <w:rFonts w:ascii="Verdana" w:hAnsi="Verdana"/>
          <w:sz w:val="20"/>
          <w:szCs w:val="20"/>
        </w:rPr>
        <w:t>i prihlášky, ktoré nesúvisia s</w:t>
      </w:r>
      <w:r w:rsidR="008366E7">
        <w:rPr>
          <w:rFonts w:ascii="Verdana" w:hAnsi="Verdana"/>
          <w:sz w:val="20"/>
          <w:szCs w:val="20"/>
        </w:rPr>
        <w:t>o </w:t>
      </w:r>
      <w:r w:rsidR="008366E7" w:rsidRPr="00A079C7">
        <w:rPr>
          <w:rFonts w:ascii="Verdana" w:hAnsi="Verdana"/>
          <w:sz w:val="20"/>
          <w:szCs w:val="20"/>
        </w:rPr>
        <w:t>súbeh</w:t>
      </w:r>
      <w:r w:rsidR="008366E7">
        <w:rPr>
          <w:rFonts w:ascii="Verdana" w:hAnsi="Verdana"/>
          <w:sz w:val="20"/>
          <w:szCs w:val="20"/>
        </w:rPr>
        <w:t>om určeným</w:t>
      </w:r>
      <w:r w:rsidR="008366E7" w:rsidRPr="00A079C7">
        <w:rPr>
          <w:rFonts w:ascii="Verdana" w:hAnsi="Verdana"/>
          <w:sz w:val="20"/>
          <w:szCs w:val="20"/>
        </w:rPr>
        <w:t xml:space="preserve"> </w:t>
      </w:r>
      <w:r w:rsidRPr="00A079C7">
        <w:rPr>
          <w:rFonts w:ascii="Verdana" w:hAnsi="Verdana"/>
          <w:sz w:val="20"/>
          <w:szCs w:val="20"/>
        </w:rPr>
        <w:t>účelom alebo prihlášky predložené neoprávnenými osobami.</w:t>
      </w:r>
    </w:p>
    <w:p w:rsidR="00AD5AA9" w:rsidRPr="00A079C7" w:rsidRDefault="00AD5AA9" w:rsidP="00AD5AA9">
      <w:pPr>
        <w:ind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A079C7">
        <w:rPr>
          <w:rFonts w:ascii="Verdana" w:hAnsi="Verdana"/>
          <w:sz w:val="20"/>
          <w:szCs w:val="20"/>
        </w:rPr>
        <w:t>Užívateľ je povinný použiť prostriedky výhradne na účely, na ktoré boli pridelené, a nevyčerpané finančné prostriedky má vrátiť do rozpočtu Autonómnej pokrajiny Vojvodiny. Užívateľ je povinný primeraným spôsobom</w:t>
      </w:r>
      <w:r w:rsidR="008366E7" w:rsidRPr="008366E7">
        <w:rPr>
          <w:rFonts w:ascii="Verdana" w:hAnsi="Verdana"/>
          <w:sz w:val="20"/>
          <w:szCs w:val="20"/>
        </w:rPr>
        <w:t xml:space="preserve"> </w:t>
      </w:r>
      <w:r w:rsidR="008366E7">
        <w:rPr>
          <w:rFonts w:ascii="Verdana" w:hAnsi="Verdana"/>
          <w:sz w:val="20"/>
          <w:szCs w:val="20"/>
        </w:rPr>
        <w:t>uviesť,</w:t>
      </w:r>
      <w:r w:rsidRPr="00A079C7">
        <w:rPr>
          <w:rFonts w:ascii="Verdana" w:hAnsi="Verdana"/>
          <w:sz w:val="20"/>
          <w:szCs w:val="20"/>
        </w:rPr>
        <w:t xml:space="preserve"> že sa na financovaní zúčastnil </w:t>
      </w:r>
      <w:r w:rsidR="008366E7">
        <w:rPr>
          <w:rFonts w:ascii="Verdana" w:hAnsi="Verdana"/>
          <w:sz w:val="20"/>
          <w:szCs w:val="20"/>
        </w:rPr>
        <w:t xml:space="preserve">aj </w:t>
      </w:r>
      <w:r w:rsidRPr="00A079C7">
        <w:rPr>
          <w:rFonts w:ascii="Verdana" w:hAnsi="Verdana"/>
          <w:sz w:val="20"/>
          <w:szCs w:val="20"/>
        </w:rPr>
        <w:t xml:space="preserve">sekretariát. Užívateľ je povinný najneskôr do konca kalendárneho roka predložiť sekretariátu správu o výdavkoch pridelených prostriedkov spolu s príslušnou dokumentáciou. V prípade pochybností o tom, že pridelené finančné prostriedky v jednotlivých prípadoch neboli účelovo použité,  sekretariát začne konanie pred pokrajinským orgánom správy zodpovedným za kontrolu rozpočtu z dôvodu kontroly účelového a zákonného využitia finančných prostriedkov. Ak sa zistí, že pridelené finančné prostriedky v </w:t>
      </w:r>
      <w:r w:rsidR="008366E7">
        <w:rPr>
          <w:rFonts w:ascii="Verdana" w:hAnsi="Verdana"/>
          <w:sz w:val="20"/>
          <w:szCs w:val="20"/>
        </w:rPr>
        <w:t>jednotlivých</w:t>
      </w:r>
      <w:r w:rsidRPr="00A079C7">
        <w:rPr>
          <w:rFonts w:ascii="Verdana" w:hAnsi="Verdana"/>
          <w:sz w:val="20"/>
          <w:szCs w:val="20"/>
        </w:rPr>
        <w:t xml:space="preserve"> prípadoch nie sú účelovo použité, žiadosti od týchto používateľov finančných prostriedkov sa nebudú </w:t>
      </w:r>
      <w:r w:rsidR="008366E7">
        <w:rPr>
          <w:rFonts w:ascii="Verdana" w:hAnsi="Verdana"/>
          <w:sz w:val="20"/>
          <w:szCs w:val="20"/>
        </w:rPr>
        <w:t>dobudúcna</w:t>
      </w:r>
      <w:r w:rsidRPr="00A079C7">
        <w:rPr>
          <w:rFonts w:ascii="Verdana" w:hAnsi="Verdana"/>
          <w:sz w:val="20"/>
          <w:szCs w:val="20"/>
        </w:rPr>
        <w:t xml:space="preserve"> brať do úvahy pri ich účasti na súbehu.</w:t>
      </w:r>
    </w:p>
    <w:p w:rsidR="00AC4A06" w:rsidRPr="00A079C7" w:rsidRDefault="00AC4A06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</w:p>
    <w:p w:rsidR="00AD5AA9" w:rsidRPr="00A079C7" w:rsidRDefault="00AD5AA9" w:rsidP="00AD5AA9">
      <w:pPr>
        <w:ind w:right="94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A079C7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A079C7">
        <w:rPr>
          <w:rFonts w:ascii="Verdana" w:hAnsi="Verdana"/>
          <w:sz w:val="20"/>
          <w:szCs w:val="20"/>
        </w:rPr>
        <w:t xml:space="preserve">Postup súbehu vedie komisia na posúdenie žiadostí, ktorú zriaďuje pokrajinský tajomník. Po posúdení prijatých </w:t>
      </w:r>
      <w:r w:rsidR="009766A1">
        <w:rPr>
          <w:rFonts w:ascii="Verdana" w:hAnsi="Verdana"/>
          <w:sz w:val="20"/>
          <w:szCs w:val="20"/>
        </w:rPr>
        <w:t>prihlášok</w:t>
      </w:r>
      <w:r w:rsidRPr="00A079C7">
        <w:rPr>
          <w:rFonts w:ascii="Verdana" w:hAnsi="Verdana"/>
          <w:sz w:val="20"/>
          <w:szCs w:val="20"/>
        </w:rPr>
        <w:t xml:space="preserve"> komisia podá odôvodnený návrh na pridelenie finančných prostriedkov podľa súbehu a predloží ho pokrajinskému tajomníkovi. </w:t>
      </w:r>
    </w:p>
    <w:p w:rsidR="00AD5AA9" w:rsidRPr="00A079C7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A079C7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A079C7">
        <w:rPr>
          <w:rFonts w:ascii="Verdana" w:hAnsi="Verdana"/>
          <w:sz w:val="20"/>
          <w:szCs w:val="20"/>
        </w:rPr>
        <w:t xml:space="preserve">O pridelení finančných prostriedkov prijímateľom podľa uskutočneného postupu rozhodne pokrajinský tajomník rozhodnutím, ktoré je konečné. </w:t>
      </w:r>
      <w:r w:rsidRPr="00C708FD">
        <w:rPr>
          <w:rFonts w:ascii="Verdana" w:hAnsi="Verdana"/>
          <w:b/>
          <w:sz w:val="20"/>
          <w:szCs w:val="20"/>
        </w:rPr>
        <w:t>Rozhodnutie o pridelení finančných prostriedkov sa uverejní na internetovej stránke sekretariátu.</w:t>
      </w:r>
      <w:r w:rsidRPr="00A079C7">
        <w:rPr>
          <w:rFonts w:ascii="Verdana" w:hAnsi="Verdana"/>
          <w:sz w:val="20"/>
          <w:szCs w:val="20"/>
        </w:rPr>
        <w:t xml:space="preserve"> </w:t>
      </w:r>
    </w:p>
    <w:p w:rsidR="00AD5AA9" w:rsidRPr="00A079C7" w:rsidRDefault="00AD5AA9" w:rsidP="00AD5AA9">
      <w:pPr>
        <w:jc w:val="both"/>
        <w:rPr>
          <w:rFonts w:ascii="Verdana" w:hAnsi="Verdana"/>
          <w:color w:val="000000"/>
          <w:sz w:val="20"/>
          <w:szCs w:val="20"/>
          <w:lang w:val="sr-Latn-RS"/>
        </w:rPr>
      </w:pPr>
    </w:p>
    <w:p w:rsidR="00AD5AA9" w:rsidRPr="00A079C7" w:rsidRDefault="00AD5AA9" w:rsidP="00AD5AA9">
      <w:pPr>
        <w:jc w:val="both"/>
        <w:rPr>
          <w:rFonts w:ascii="Verdana" w:hAnsi="Verdana"/>
          <w:color w:val="000000"/>
          <w:sz w:val="20"/>
          <w:szCs w:val="20"/>
          <w:lang w:val="sr-Cyrl-RS"/>
        </w:rPr>
      </w:pPr>
    </w:p>
    <w:p w:rsidR="00AD5AA9" w:rsidRPr="00A079C7" w:rsidRDefault="00AD5AA9" w:rsidP="00AD5AA9">
      <w:pPr>
        <w:ind w:firstLine="720"/>
        <w:jc w:val="both"/>
        <w:rPr>
          <w:rFonts w:ascii="Verdana" w:hAnsi="Verdana"/>
          <w:color w:val="000000"/>
          <w:sz w:val="20"/>
          <w:szCs w:val="20"/>
        </w:rPr>
      </w:pPr>
      <w:r w:rsidRPr="00A079C7">
        <w:rPr>
          <w:rFonts w:ascii="Verdana" w:hAnsi="Verdana"/>
          <w:color w:val="000000"/>
          <w:sz w:val="20"/>
          <w:szCs w:val="20"/>
        </w:rPr>
        <w:t xml:space="preserve"> 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5353"/>
        <w:gridCol w:w="4277"/>
      </w:tblGrid>
      <w:tr w:rsidR="00AD5AA9" w:rsidRPr="00A079C7" w:rsidTr="004A2EDC">
        <w:tc>
          <w:tcPr>
            <w:tcW w:w="5353" w:type="dxa"/>
            <w:shd w:val="clear" w:color="auto" w:fill="auto"/>
          </w:tcPr>
          <w:p w:rsidR="00AD5AA9" w:rsidRPr="00A079C7" w:rsidRDefault="00AD5AA9" w:rsidP="00F735A9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4277" w:type="dxa"/>
            <w:shd w:val="clear" w:color="auto" w:fill="auto"/>
          </w:tcPr>
          <w:p w:rsidR="00AD5AA9" w:rsidRDefault="004A2EDC" w:rsidP="004A2EDC">
            <w:pPr>
              <w:ind w:left="-154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P.O. POKRAJINSKÉHO</w:t>
            </w:r>
            <w:r w:rsidR="00AD5AA9" w:rsidRPr="00A079C7">
              <w:rPr>
                <w:rFonts w:ascii="Verdana" w:hAnsi="Verdana"/>
                <w:color w:val="000000"/>
                <w:sz w:val="20"/>
                <w:szCs w:val="20"/>
              </w:rPr>
              <w:t xml:space="preserve"> TAJOMNÍK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A</w:t>
            </w:r>
          </w:p>
          <w:p w:rsidR="00506095" w:rsidRPr="00A079C7" w:rsidRDefault="00506095" w:rsidP="00F735A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86230" w:rsidRPr="00A079C7" w:rsidTr="004A2EDC">
        <w:tc>
          <w:tcPr>
            <w:tcW w:w="5353" w:type="dxa"/>
            <w:shd w:val="clear" w:color="auto" w:fill="auto"/>
          </w:tcPr>
          <w:p w:rsidR="00886230" w:rsidRPr="00A079C7" w:rsidRDefault="00886230" w:rsidP="00886230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4277" w:type="dxa"/>
            <w:shd w:val="clear" w:color="auto" w:fill="auto"/>
          </w:tcPr>
          <w:p w:rsidR="00886230" w:rsidRPr="00886230" w:rsidRDefault="00886230" w:rsidP="00886230">
            <w:pPr>
              <w:ind w:left="-154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886230">
              <w:rPr>
                <w:rFonts w:ascii="Verdana" w:hAnsi="Verdana"/>
                <w:color w:val="000000"/>
                <w:sz w:val="20"/>
                <w:szCs w:val="20"/>
              </w:rPr>
              <w:t>Milan Kovačević, v.r.</w:t>
            </w:r>
          </w:p>
        </w:tc>
      </w:tr>
      <w:tr w:rsidR="00886230" w:rsidRPr="00BB72E7" w:rsidTr="004A2EDC">
        <w:tc>
          <w:tcPr>
            <w:tcW w:w="5353" w:type="dxa"/>
            <w:shd w:val="clear" w:color="auto" w:fill="auto"/>
          </w:tcPr>
          <w:p w:rsidR="00886230" w:rsidRPr="00A079C7" w:rsidRDefault="00886230" w:rsidP="00886230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4277" w:type="dxa"/>
            <w:shd w:val="clear" w:color="auto" w:fill="auto"/>
          </w:tcPr>
          <w:p w:rsidR="00886230" w:rsidRPr="00886230" w:rsidRDefault="00886230" w:rsidP="00886230">
            <w:pPr>
              <w:ind w:left="-154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886230">
              <w:rPr>
                <w:rFonts w:ascii="Verdana" w:hAnsi="Verdana"/>
                <w:color w:val="000000"/>
                <w:sz w:val="20"/>
                <w:szCs w:val="20"/>
              </w:rPr>
              <w:t>zástupca pokrajinského tajomníka</w:t>
            </w:r>
          </w:p>
        </w:tc>
      </w:tr>
      <w:tr w:rsidR="00AD5AA9" w:rsidRPr="00BB72E7" w:rsidTr="004A2EDC">
        <w:tc>
          <w:tcPr>
            <w:tcW w:w="5353" w:type="dxa"/>
            <w:shd w:val="clear" w:color="auto" w:fill="auto"/>
          </w:tcPr>
          <w:p w:rsidR="00AD5AA9" w:rsidRPr="00BB72E7" w:rsidRDefault="00AD5AA9" w:rsidP="00F735A9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4277" w:type="dxa"/>
            <w:shd w:val="clear" w:color="auto" w:fill="auto"/>
          </w:tcPr>
          <w:p w:rsidR="00AD5AA9" w:rsidRPr="00BB72E7" w:rsidRDefault="00AD5AA9" w:rsidP="00F735A9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AD5AA9" w:rsidRPr="00BB72E7" w:rsidTr="004A2EDC">
        <w:tc>
          <w:tcPr>
            <w:tcW w:w="5353" w:type="dxa"/>
            <w:shd w:val="clear" w:color="auto" w:fill="auto"/>
          </w:tcPr>
          <w:p w:rsidR="00AD5AA9" w:rsidRPr="00BB72E7" w:rsidRDefault="00AD5AA9" w:rsidP="00F735A9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4277" w:type="dxa"/>
            <w:shd w:val="clear" w:color="auto" w:fill="auto"/>
          </w:tcPr>
          <w:p w:rsidR="00AD5AA9" w:rsidRPr="00BB72E7" w:rsidRDefault="00AD5AA9" w:rsidP="00F735A9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</w:tbl>
    <w:p w:rsidR="008F2BFE" w:rsidRPr="00AD5AA9" w:rsidRDefault="008F2BFE" w:rsidP="00170BF5">
      <w:pPr>
        <w:rPr>
          <w:lang w:val="sr-Cyrl-RS"/>
        </w:rPr>
      </w:pPr>
    </w:p>
    <w:sectPr w:rsidR="008F2BFE" w:rsidRPr="00AD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1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2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B7"/>
    <w:rsid w:val="00016713"/>
    <w:rsid w:val="000560D4"/>
    <w:rsid w:val="00062E1E"/>
    <w:rsid w:val="00063DE0"/>
    <w:rsid w:val="00070D32"/>
    <w:rsid w:val="00081D50"/>
    <w:rsid w:val="000A735B"/>
    <w:rsid w:val="000C0972"/>
    <w:rsid w:val="00112548"/>
    <w:rsid w:val="00121553"/>
    <w:rsid w:val="00137E20"/>
    <w:rsid w:val="00141807"/>
    <w:rsid w:val="00170BF5"/>
    <w:rsid w:val="00177144"/>
    <w:rsid w:val="00194E6E"/>
    <w:rsid w:val="001C4E12"/>
    <w:rsid w:val="001D3FDA"/>
    <w:rsid w:val="001D44A5"/>
    <w:rsid w:val="00215FD1"/>
    <w:rsid w:val="00237AD6"/>
    <w:rsid w:val="00255B6D"/>
    <w:rsid w:val="002A66E2"/>
    <w:rsid w:val="002B620E"/>
    <w:rsid w:val="00300292"/>
    <w:rsid w:val="0030158B"/>
    <w:rsid w:val="0030354A"/>
    <w:rsid w:val="00321093"/>
    <w:rsid w:val="00364B3B"/>
    <w:rsid w:val="003714F3"/>
    <w:rsid w:val="003D4BF4"/>
    <w:rsid w:val="003E2845"/>
    <w:rsid w:val="00434667"/>
    <w:rsid w:val="00435474"/>
    <w:rsid w:val="004A2EDC"/>
    <w:rsid w:val="004B1BDD"/>
    <w:rsid w:val="004E787F"/>
    <w:rsid w:val="00506095"/>
    <w:rsid w:val="0051347F"/>
    <w:rsid w:val="00534AD0"/>
    <w:rsid w:val="00585542"/>
    <w:rsid w:val="005C28B7"/>
    <w:rsid w:val="00651161"/>
    <w:rsid w:val="00651DA3"/>
    <w:rsid w:val="0066172B"/>
    <w:rsid w:val="00666B5A"/>
    <w:rsid w:val="00726F4A"/>
    <w:rsid w:val="007659EE"/>
    <w:rsid w:val="007C4A42"/>
    <w:rsid w:val="007E0C82"/>
    <w:rsid w:val="007E31C8"/>
    <w:rsid w:val="008366E7"/>
    <w:rsid w:val="00886230"/>
    <w:rsid w:val="008F2BFE"/>
    <w:rsid w:val="00900390"/>
    <w:rsid w:val="009108C7"/>
    <w:rsid w:val="00953D69"/>
    <w:rsid w:val="009565DC"/>
    <w:rsid w:val="009758C7"/>
    <w:rsid w:val="009766A1"/>
    <w:rsid w:val="009A7AE2"/>
    <w:rsid w:val="00A079C7"/>
    <w:rsid w:val="00A92839"/>
    <w:rsid w:val="00AC4A06"/>
    <w:rsid w:val="00AD5AA9"/>
    <w:rsid w:val="00B22B89"/>
    <w:rsid w:val="00B65735"/>
    <w:rsid w:val="00B90763"/>
    <w:rsid w:val="00BA1A67"/>
    <w:rsid w:val="00C06C5B"/>
    <w:rsid w:val="00C708FD"/>
    <w:rsid w:val="00CC1C89"/>
    <w:rsid w:val="00CC645F"/>
    <w:rsid w:val="00D10CCE"/>
    <w:rsid w:val="00D2111B"/>
    <w:rsid w:val="00D422F2"/>
    <w:rsid w:val="00D71141"/>
    <w:rsid w:val="00E304BA"/>
    <w:rsid w:val="00E9163E"/>
    <w:rsid w:val="00EE14D2"/>
    <w:rsid w:val="00F247CF"/>
    <w:rsid w:val="00F40271"/>
    <w:rsid w:val="00F53918"/>
    <w:rsid w:val="00FD2E7F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28638"/>
  <w15:docId w15:val="{64B0F8D3-B1B1-47C2-B725-C1D0A4CA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0"/>
    <w:rPr>
      <w:rFonts w:ascii="Tahoma" w:eastAsia="Times New Roman" w:hAnsi="Tahoma" w:cs="Tahoma"/>
      <w:sz w:val="16"/>
      <w:szCs w:val="16"/>
      <w:lang w:val="sk-SK"/>
    </w:rPr>
  </w:style>
  <w:style w:type="character" w:styleId="Hyperlink">
    <w:name w:val="Hyperlink"/>
    <w:rsid w:val="00AD5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Mihaljev</dc:creator>
  <cp:lastModifiedBy>Adrian Borka</cp:lastModifiedBy>
  <cp:revision>9</cp:revision>
  <dcterms:created xsi:type="dcterms:W3CDTF">2022-01-13T12:07:00Z</dcterms:created>
  <dcterms:modified xsi:type="dcterms:W3CDTF">2022-01-18T11:20:00Z</dcterms:modified>
</cp:coreProperties>
</file>