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1985"/>
        <w:gridCol w:w="8080"/>
      </w:tblGrid>
      <w:tr w:rsidR="00D1291A" w:rsidRPr="00E43122" w:rsidTr="00AB5E30">
        <w:trPr>
          <w:trHeight w:val="1975"/>
        </w:trPr>
        <w:tc>
          <w:tcPr>
            <w:tcW w:w="1985" w:type="dxa"/>
          </w:tcPr>
          <w:p w:rsidR="00D1291A" w:rsidRPr="002E7DE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143000" cy="657225"/>
                  <wp:effectExtent l="0" t="0" r="0" b="9525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</w:tcPr>
          <w:p w:rsidR="00D1291A" w:rsidRPr="00AB5E30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Republica Serbia</w:t>
            </w:r>
          </w:p>
          <w:p w:rsidR="00D1291A" w:rsidRPr="00AB5E30" w:rsidRDefault="00D1291A" w:rsidP="001F5F7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Provincia Autonomă Voivodina</w:t>
            </w:r>
          </w:p>
          <w:p w:rsidR="00D1291A" w:rsidRPr="00AB5E30" w:rsidRDefault="00D1291A" w:rsidP="001F5F77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Secretariatul Provincial pentru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Educaţie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>, Reglementări,</w:t>
            </w:r>
          </w:p>
          <w:p w:rsidR="00D1291A" w:rsidRPr="00AB5E30" w:rsidRDefault="00D1291A" w:rsidP="001F5F77">
            <w:pPr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Administraţie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şi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Minorităţile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Naţionale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Comunităţile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Naţionale</w:t>
            </w:r>
            <w:proofErr w:type="spellEnd"/>
          </w:p>
          <w:p w:rsidR="00D1291A" w:rsidRPr="00AB5E30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Bulevar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Mihajla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Pupina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16, 21000 Novi Sad</w:t>
            </w:r>
          </w:p>
          <w:p w:rsidR="00D1291A" w:rsidRPr="00AB5E30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T: +381 21  487  46 14, 487 40 36, 487 43 36</w:t>
            </w:r>
          </w:p>
          <w:p w:rsidR="00D1291A" w:rsidRPr="00AB5E30" w:rsidRDefault="00BD28A6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hyperlink r:id="rId8" w:history="1">
              <w:proofErr w:type="spellStart"/>
              <w:r w:rsidR="004C65F5">
                <w:rPr>
                  <w:rStyle w:val="Hyperlink"/>
                  <w:rFonts w:ascii="Calibri" w:hAnsi="Calibri"/>
                  <w:sz w:val="20"/>
                  <w:szCs w:val="20"/>
                </w:rPr>
                <w:t>ounz@vojvodinа.gov.rs</w:t>
              </w:r>
              <w:proofErr w:type="spellEnd"/>
            </w:hyperlink>
          </w:p>
          <w:p w:rsidR="00D1291A" w:rsidRPr="00E43122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156793" w:rsidRPr="0015679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BC7B0D" w:rsidTr="00FE0351">
        <w:trPr>
          <w:trHeight w:val="426"/>
        </w:trPr>
        <w:tc>
          <w:tcPr>
            <w:tcW w:w="3402" w:type="dxa"/>
          </w:tcPr>
          <w:p w:rsidR="00D1291A" w:rsidRPr="00FE7848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NUMĂRUL: 128-454-450/2022-04/1</w:t>
            </w:r>
          </w:p>
          <w:p w:rsidR="00D1291A" w:rsidRPr="00946A49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7C3A30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DATA: 27.10.2022</w:t>
            </w:r>
          </w:p>
          <w:p w:rsidR="00D1291A" w:rsidRPr="00D52F16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7310E8" w:rsidRDefault="007310E8" w:rsidP="007310E8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În baza art. 15, 16 alineatul 5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24 alineatul 2 din Hotărârea Adunării Provinciei privind administrația provincială (Buletinul oficial al </w:t>
      </w:r>
      <w:proofErr w:type="spellStart"/>
      <w:r>
        <w:rPr>
          <w:rFonts w:ascii="Calibri" w:hAnsi="Calibri"/>
          <w:sz w:val="22"/>
          <w:szCs w:val="22"/>
        </w:rPr>
        <w:t>P.A.V</w:t>
      </w:r>
      <w:proofErr w:type="spellEnd"/>
      <w:r>
        <w:rPr>
          <w:rFonts w:ascii="Calibri" w:hAnsi="Calibri"/>
          <w:sz w:val="22"/>
          <w:szCs w:val="22"/>
        </w:rPr>
        <w:t xml:space="preserve">.", numărul 37/14, 54/14 ‒ altă reglementare, 37/16, 29/17, 24/19, 66/20 și 38/21), articolului 23 alineatele 1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4 din Hotărârea Adunării Provinciei privind bugetul Provinciei Autonome Voivodina pentru anul 2022 („Buletinul oficial al </w:t>
      </w:r>
      <w:proofErr w:type="spellStart"/>
      <w:r>
        <w:rPr>
          <w:rFonts w:ascii="Calibri" w:hAnsi="Calibri"/>
          <w:sz w:val="22"/>
          <w:szCs w:val="22"/>
        </w:rPr>
        <w:t>P.A.V</w:t>
      </w:r>
      <w:proofErr w:type="spellEnd"/>
      <w:r>
        <w:rPr>
          <w:rFonts w:ascii="Calibri" w:hAnsi="Calibri"/>
          <w:sz w:val="22"/>
          <w:szCs w:val="22"/>
        </w:rPr>
        <w:t xml:space="preserve">.”, numărul 54/21 , 7/22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37/22), articolului 9 din Regulamentului privind repartizarea mijloacelor bugetare ale Secretariatului Provincial pentru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sz w:val="22"/>
          <w:szCs w:val="22"/>
        </w:rPr>
        <w:t>Administraţie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Minorităţile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– </w:t>
      </w:r>
      <w:proofErr w:type="spellStart"/>
      <w:r>
        <w:rPr>
          <w:rFonts w:ascii="Calibri" w:hAnsi="Calibri"/>
          <w:sz w:val="22"/>
          <w:szCs w:val="22"/>
        </w:rPr>
        <w:t>Comunităţile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modernizării infrastructurii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din domeniul nivelului de trai al elevilor din teritoriul P.A. Voivodina („Buletinul oficial al </w:t>
      </w:r>
      <w:proofErr w:type="spellStart"/>
      <w:r>
        <w:rPr>
          <w:rFonts w:ascii="Calibri" w:hAnsi="Calibri"/>
          <w:sz w:val="22"/>
          <w:szCs w:val="22"/>
        </w:rPr>
        <w:t>PAV</w:t>
      </w:r>
      <w:proofErr w:type="spellEnd"/>
      <w:r>
        <w:rPr>
          <w:rFonts w:ascii="Calibri" w:hAnsi="Calibri"/>
          <w:sz w:val="22"/>
          <w:szCs w:val="22"/>
        </w:rPr>
        <w:t xml:space="preserve">”, nr. 4/17), după realizarea Concursului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elaborării documentației tehnice pentru nevoile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2022 („Buletinul oficial al </w:t>
      </w:r>
      <w:proofErr w:type="spellStart"/>
      <w:r>
        <w:rPr>
          <w:rFonts w:ascii="Calibri" w:hAnsi="Calibri"/>
          <w:sz w:val="22"/>
          <w:szCs w:val="22"/>
        </w:rPr>
        <w:t>PAV</w:t>
      </w:r>
      <w:proofErr w:type="spellEnd"/>
      <w:r>
        <w:rPr>
          <w:rFonts w:ascii="Calibri" w:hAnsi="Calibri"/>
          <w:sz w:val="22"/>
          <w:szCs w:val="22"/>
        </w:rPr>
        <w:t xml:space="preserve">”, nr. 39/22, 41/22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44/22), în baza Deciziei secretarului provincial pentru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sz w:val="22"/>
          <w:szCs w:val="22"/>
        </w:rPr>
        <w:t>administraţie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minorităţile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– </w:t>
      </w:r>
      <w:proofErr w:type="spellStart"/>
      <w:r>
        <w:rPr>
          <w:rFonts w:ascii="Calibri" w:hAnsi="Calibri"/>
          <w:sz w:val="22"/>
          <w:szCs w:val="22"/>
        </w:rPr>
        <w:t>comunităţile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publică, numărul: 128-199/2022 adoptată pe data de 05.07.2022 </w:t>
      </w:r>
      <w:proofErr w:type="spellStart"/>
      <w:r>
        <w:rPr>
          <w:rFonts w:ascii="Calibri" w:hAnsi="Calibri"/>
          <w:sz w:val="22"/>
          <w:szCs w:val="22"/>
        </w:rPr>
        <w:t>Slađana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Bursać</w:t>
      </w:r>
      <w:proofErr w:type="spellEnd"/>
      <w:r>
        <w:rPr>
          <w:rFonts w:ascii="Calibri" w:hAnsi="Calibri"/>
          <w:sz w:val="22"/>
          <w:szCs w:val="22"/>
        </w:rPr>
        <w:t>, LOCȚIITOARE DE SECRETAR PROVINCIAL, emite,</w:t>
      </w:r>
    </w:p>
    <w:p w:rsidR="00D1291A" w:rsidRPr="00C12676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DECIZIA</w:t>
      </w:r>
    </w:p>
    <w:p w:rsidR="00D1291A" w:rsidRDefault="00D1291A" w:rsidP="00BA66F9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PRIVIND REPARTIZAREA MIJLOACELOR BUGETARE ALE SECRETARIATULUI PROVINCIAL PENTRU </w:t>
      </w:r>
      <w:proofErr w:type="spellStart"/>
      <w:r>
        <w:rPr>
          <w:rFonts w:ascii="Calibri" w:hAnsi="Calibri"/>
          <w:b/>
          <w:sz w:val="22"/>
          <w:szCs w:val="22"/>
        </w:rPr>
        <w:t>EDUCAŢIE</w:t>
      </w:r>
      <w:proofErr w:type="spellEnd"/>
      <w:r>
        <w:rPr>
          <w:rFonts w:ascii="Calibri" w:hAnsi="Calibri"/>
          <w:b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b/>
          <w:sz w:val="22"/>
          <w:szCs w:val="22"/>
        </w:rPr>
        <w:t>ADMINISTRAŢIE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MINORITĂŢILE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NAŢIONALE</w:t>
      </w:r>
      <w:proofErr w:type="spellEnd"/>
      <w:r>
        <w:rPr>
          <w:rFonts w:ascii="Calibri" w:hAnsi="Calibri"/>
          <w:b/>
          <w:sz w:val="22"/>
          <w:szCs w:val="22"/>
        </w:rPr>
        <w:t xml:space="preserve"> - </w:t>
      </w:r>
      <w:proofErr w:type="spellStart"/>
      <w:r>
        <w:rPr>
          <w:rFonts w:ascii="Calibri" w:hAnsi="Calibri"/>
          <w:b/>
          <w:sz w:val="22"/>
          <w:szCs w:val="22"/>
        </w:rPr>
        <w:t>COMUNITĂŢILE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NAŢIONALE</w:t>
      </w:r>
      <w:proofErr w:type="spellEnd"/>
      <w:r>
        <w:rPr>
          <w:rFonts w:ascii="Calibri" w:hAnsi="Calibri"/>
          <w:b/>
          <w:sz w:val="22"/>
          <w:szCs w:val="22"/>
        </w:rPr>
        <w:t xml:space="preserve"> PENTRU </w:t>
      </w:r>
      <w:proofErr w:type="spellStart"/>
      <w:r>
        <w:rPr>
          <w:rFonts w:ascii="Calibri" w:hAnsi="Calibri"/>
          <w:b/>
          <w:sz w:val="22"/>
          <w:szCs w:val="22"/>
        </w:rPr>
        <w:t>FINANŢAREA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COFINANŢAREA</w:t>
      </w:r>
      <w:proofErr w:type="spellEnd"/>
      <w:r>
        <w:rPr>
          <w:rFonts w:ascii="Calibri" w:hAnsi="Calibri"/>
          <w:b/>
          <w:sz w:val="22"/>
          <w:szCs w:val="22"/>
        </w:rPr>
        <w:t xml:space="preserve"> ELABORĂRII DOCUMENTAȚIEI TEHNICE PENTRU NEVOILE </w:t>
      </w:r>
      <w:proofErr w:type="spellStart"/>
      <w:r>
        <w:rPr>
          <w:rFonts w:ascii="Calibri" w:hAnsi="Calibri"/>
          <w:b/>
          <w:sz w:val="22"/>
          <w:szCs w:val="22"/>
        </w:rPr>
        <w:t>INSTITUŢIILOR</w:t>
      </w:r>
      <w:proofErr w:type="spellEnd"/>
      <w:r>
        <w:rPr>
          <w:rFonts w:ascii="Calibri" w:hAnsi="Calibri"/>
          <w:b/>
          <w:sz w:val="22"/>
          <w:szCs w:val="22"/>
        </w:rPr>
        <w:t xml:space="preserve"> DE </w:t>
      </w:r>
      <w:proofErr w:type="spellStart"/>
      <w:r>
        <w:rPr>
          <w:rFonts w:ascii="Calibri" w:hAnsi="Calibri"/>
          <w:b/>
          <w:sz w:val="22"/>
          <w:szCs w:val="22"/>
        </w:rPr>
        <w:t>EDUCAŢIE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INSTRUCŢIE</w:t>
      </w:r>
      <w:proofErr w:type="spellEnd"/>
      <w:r>
        <w:rPr>
          <w:rFonts w:ascii="Calibri" w:hAnsi="Calibri"/>
          <w:b/>
          <w:sz w:val="22"/>
          <w:szCs w:val="22"/>
        </w:rPr>
        <w:t xml:space="preserve"> ELEMENTARĂ DIN TERITORIUL PROVINCIEI AUTON</w:t>
      </w:r>
      <w:r w:rsidR="00B2677B">
        <w:rPr>
          <w:rFonts w:ascii="Calibri" w:hAnsi="Calibri"/>
          <w:b/>
          <w:sz w:val="22"/>
          <w:szCs w:val="22"/>
        </w:rPr>
        <w:t xml:space="preserve">OME VOIVODINA PENTRU ANUL 2022 </w:t>
      </w:r>
      <w:bookmarkStart w:id="0" w:name="_GoBack"/>
      <w:bookmarkEnd w:id="0"/>
    </w:p>
    <w:p w:rsidR="00D1291A" w:rsidRPr="001D2378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F93FE3" w:rsidRPr="008560B4" w:rsidRDefault="00F93FE3" w:rsidP="00F93FE3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</w:t>
      </w:r>
      <w:proofErr w:type="spellStart"/>
      <w:r>
        <w:rPr>
          <w:rFonts w:ascii="Calibri" w:hAnsi="Calibri"/>
          <w:sz w:val="22"/>
          <w:szCs w:val="22"/>
        </w:rPr>
        <w:t>stabileşte</w:t>
      </w:r>
      <w:proofErr w:type="spellEnd"/>
      <w:r>
        <w:rPr>
          <w:rFonts w:ascii="Calibri" w:hAnsi="Calibri"/>
          <w:sz w:val="22"/>
          <w:szCs w:val="22"/>
        </w:rPr>
        <w:t xml:space="preserve"> repartizarea mijloacelor bugetare ale  Secretariatului Provincial pentru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sz w:val="22"/>
          <w:szCs w:val="22"/>
        </w:rPr>
        <w:t>Administraţie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Minorităţile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– </w:t>
      </w:r>
      <w:proofErr w:type="spellStart"/>
      <w:r>
        <w:rPr>
          <w:rFonts w:ascii="Calibri" w:hAnsi="Calibri"/>
          <w:sz w:val="22"/>
          <w:szCs w:val="22"/>
        </w:rPr>
        <w:t>Comunităţile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către </w:t>
      </w:r>
      <w:proofErr w:type="spellStart"/>
      <w:r>
        <w:rPr>
          <w:rFonts w:ascii="Calibri" w:hAnsi="Calibri"/>
          <w:sz w:val="22"/>
          <w:szCs w:val="22"/>
        </w:rPr>
        <w:t>instituţiile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medie conform </w:t>
      </w:r>
      <w:r>
        <w:rPr>
          <w:rFonts w:ascii="Calibri" w:hAnsi="Calibri"/>
          <w:i/>
          <w:sz w:val="22"/>
          <w:szCs w:val="22"/>
        </w:rPr>
        <w:t xml:space="preserve">Concursului pentru </w:t>
      </w:r>
      <w:proofErr w:type="spellStart"/>
      <w:r>
        <w:rPr>
          <w:rFonts w:ascii="Calibri" w:hAnsi="Calibri"/>
          <w:i/>
          <w:sz w:val="22"/>
          <w:szCs w:val="22"/>
        </w:rPr>
        <w:t>finanţarea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şi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cofinanţarea</w:t>
      </w:r>
      <w:proofErr w:type="spellEnd"/>
      <w:r>
        <w:rPr>
          <w:rFonts w:ascii="Calibri" w:hAnsi="Calibri"/>
          <w:i/>
          <w:sz w:val="22"/>
          <w:szCs w:val="22"/>
        </w:rPr>
        <w:t xml:space="preserve"> elaborării documentației tehnice pentru nevoile </w:t>
      </w:r>
      <w:proofErr w:type="spellStart"/>
      <w:r>
        <w:rPr>
          <w:rFonts w:ascii="Calibri" w:hAnsi="Calibri"/>
          <w:i/>
          <w:sz w:val="22"/>
          <w:szCs w:val="22"/>
        </w:rPr>
        <w:t>instituţiilor</w:t>
      </w:r>
      <w:proofErr w:type="spellEnd"/>
      <w:r>
        <w:rPr>
          <w:rFonts w:ascii="Calibri" w:hAnsi="Calibri"/>
          <w:i/>
          <w:sz w:val="22"/>
          <w:szCs w:val="22"/>
        </w:rPr>
        <w:t xml:space="preserve"> de </w:t>
      </w:r>
      <w:proofErr w:type="spellStart"/>
      <w:r>
        <w:rPr>
          <w:rFonts w:ascii="Calibri" w:hAnsi="Calibri"/>
          <w:i/>
          <w:sz w:val="22"/>
          <w:szCs w:val="22"/>
        </w:rPr>
        <w:t>educaţie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şi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instrucţie</w:t>
      </w:r>
      <w:proofErr w:type="spellEnd"/>
      <w:r>
        <w:rPr>
          <w:rFonts w:ascii="Calibri" w:hAnsi="Calibri"/>
          <w:i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i/>
          <w:sz w:val="22"/>
          <w:szCs w:val="22"/>
        </w:rPr>
        <w:t>şi</w:t>
      </w:r>
      <w:proofErr w:type="spellEnd"/>
      <w:r>
        <w:rPr>
          <w:rFonts w:ascii="Calibri" w:hAnsi="Calibri"/>
          <w:i/>
          <w:sz w:val="22"/>
          <w:szCs w:val="22"/>
        </w:rPr>
        <w:t xml:space="preserve"> medie din teritoriul Provinciei Autonome Voivodina pentru anul 2022 („Buletinul oficial al </w:t>
      </w:r>
      <w:proofErr w:type="spellStart"/>
      <w:r>
        <w:rPr>
          <w:rFonts w:ascii="Calibri" w:hAnsi="Calibri"/>
          <w:i/>
          <w:sz w:val="22"/>
          <w:szCs w:val="22"/>
        </w:rPr>
        <w:t>PAV</w:t>
      </w:r>
      <w:proofErr w:type="spellEnd"/>
      <w:r>
        <w:rPr>
          <w:rFonts w:ascii="Calibri" w:hAnsi="Calibri"/>
          <w:i/>
          <w:sz w:val="22"/>
          <w:szCs w:val="22"/>
        </w:rPr>
        <w:t xml:space="preserve">”, nr. 39/22, 41/22 </w:t>
      </w:r>
      <w:proofErr w:type="spellStart"/>
      <w:r>
        <w:rPr>
          <w:rFonts w:ascii="Calibri" w:hAnsi="Calibri"/>
          <w:i/>
          <w:sz w:val="22"/>
          <w:szCs w:val="22"/>
        </w:rPr>
        <w:t>şi</w:t>
      </w:r>
      <w:proofErr w:type="spellEnd"/>
      <w:r>
        <w:rPr>
          <w:rFonts w:ascii="Calibri" w:hAnsi="Calibri"/>
          <w:i/>
          <w:sz w:val="22"/>
          <w:szCs w:val="22"/>
        </w:rPr>
        <w:t xml:space="preserve"> 44/22). </w:t>
      </w:r>
    </w:p>
    <w:p w:rsidR="00D1291A" w:rsidRPr="004741BB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1E054C" w:rsidRPr="00284613" w:rsidRDefault="00D1291A" w:rsidP="001E054C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Prin concurs au fost destinate în total </w:t>
      </w:r>
      <w:r>
        <w:rPr>
          <w:rFonts w:ascii="Calibri" w:hAnsi="Calibri"/>
          <w:b/>
          <w:sz w:val="22"/>
          <w:szCs w:val="22"/>
        </w:rPr>
        <w:t>30.000.000,00 dinari</w:t>
      </w:r>
      <w:r>
        <w:rPr>
          <w:rFonts w:ascii="Calibri" w:hAnsi="Calibri"/>
          <w:sz w:val="22"/>
          <w:szCs w:val="22"/>
        </w:rPr>
        <w:t xml:space="preserve"> în cadrul cărora pentru nivelul educației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instrucției elementare </w:t>
      </w:r>
      <w:r>
        <w:rPr>
          <w:rFonts w:ascii="Calibri" w:hAnsi="Calibri"/>
          <w:b/>
          <w:sz w:val="22"/>
          <w:szCs w:val="22"/>
        </w:rPr>
        <w:t>24.983.931,00 dinari.</w:t>
      </w:r>
      <w:r>
        <w:rPr>
          <w:rFonts w:ascii="Calibri" w:hAnsi="Calibri"/>
          <w:sz w:val="22"/>
          <w:szCs w:val="22"/>
        </w:rPr>
        <w:t xml:space="preserve"> </w:t>
      </w:r>
      <w:r>
        <w:t xml:space="preserve">Prin prezenta decizie se repartizează mijloacele pentru </w:t>
      </w:r>
      <w:proofErr w:type="spellStart"/>
      <w:r>
        <w:t>iinstituţiile</w:t>
      </w:r>
      <w:proofErr w:type="spellEnd"/>
      <w:r>
        <w:t xml:space="preserve"> învățământului elementar, </w:t>
      </w:r>
      <w:r>
        <w:rPr>
          <w:b/>
        </w:rPr>
        <w:t xml:space="preserve">iar cuantumul de </w:t>
      </w:r>
      <w:r>
        <w:rPr>
          <w:rFonts w:ascii="Calibri" w:hAnsi="Calibri"/>
          <w:b/>
          <w:sz w:val="22"/>
          <w:szCs w:val="22"/>
        </w:rPr>
        <w:t>16.069,00 dinari rămâne nerepartizat.</w:t>
      </w:r>
    </w:p>
    <w:p w:rsidR="00D1291A" w:rsidRPr="00E314A3" w:rsidRDefault="00816A3D" w:rsidP="008576E9">
      <w:pPr>
        <w:ind w:left="142" w:firstLine="56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2"/>
          <w:szCs w:val="22"/>
        </w:rPr>
        <w:t>.</w:t>
      </w:r>
    </w:p>
    <w:p w:rsidR="00D1291A" w:rsidRPr="00A630E8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Mijloacele se aprobă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(în continuare: Beneficiarii) în conformitate cu tabelul anexat 1. </w:t>
      </w:r>
      <w:r>
        <w:rPr>
          <w:rFonts w:ascii="Calibri" w:hAnsi="Calibri"/>
          <w:b/>
          <w:sz w:val="22"/>
          <w:szCs w:val="22"/>
        </w:rPr>
        <w:t xml:space="preserve">REPARTIZAREA </w:t>
      </w:r>
      <w:proofErr w:type="spellStart"/>
      <w:r>
        <w:rPr>
          <w:rFonts w:ascii="Calibri" w:hAnsi="Calibri"/>
          <w:b/>
          <w:sz w:val="22"/>
          <w:szCs w:val="22"/>
        </w:rPr>
        <w:t>MIJLOACELORPENTRU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FINANŢAREA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COFINANŢAREA</w:t>
      </w:r>
      <w:proofErr w:type="spellEnd"/>
      <w:r>
        <w:rPr>
          <w:rFonts w:ascii="Calibri" w:hAnsi="Calibri"/>
          <w:b/>
          <w:sz w:val="22"/>
          <w:szCs w:val="22"/>
        </w:rPr>
        <w:t xml:space="preserve"> ELABORĂRII DOCUMENTAȚIEI TEHNICE PENTRU NEVOILE  </w:t>
      </w:r>
      <w:proofErr w:type="spellStart"/>
      <w:r>
        <w:rPr>
          <w:rFonts w:ascii="Calibri" w:hAnsi="Calibri"/>
          <w:b/>
          <w:sz w:val="22"/>
          <w:szCs w:val="22"/>
        </w:rPr>
        <w:lastRenderedPageBreak/>
        <w:t>INSTITUŢIILOR</w:t>
      </w:r>
      <w:proofErr w:type="spellEnd"/>
      <w:r>
        <w:rPr>
          <w:rFonts w:ascii="Calibri" w:hAnsi="Calibri"/>
          <w:b/>
          <w:sz w:val="22"/>
          <w:szCs w:val="22"/>
        </w:rPr>
        <w:t xml:space="preserve"> DE </w:t>
      </w:r>
      <w:proofErr w:type="spellStart"/>
      <w:r>
        <w:rPr>
          <w:rFonts w:ascii="Calibri" w:hAnsi="Calibri"/>
          <w:b/>
          <w:sz w:val="22"/>
          <w:szCs w:val="22"/>
        </w:rPr>
        <w:t>EDUCAŢIE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INSTRUCŢIE</w:t>
      </w:r>
      <w:proofErr w:type="spellEnd"/>
      <w:r>
        <w:rPr>
          <w:rFonts w:ascii="Calibri" w:hAnsi="Calibri"/>
          <w:b/>
          <w:sz w:val="22"/>
          <w:szCs w:val="22"/>
        </w:rPr>
        <w:t xml:space="preserve"> MEDIE DIN TERITORIUL PROVINCIEI AUTONOME VOIVODINA PENTRU ANUL 2022</w:t>
      </w:r>
      <w:r>
        <w:rPr>
          <w:rFonts w:ascii="Calibri" w:hAnsi="Calibri"/>
          <w:sz w:val="22"/>
          <w:szCs w:val="22"/>
        </w:rPr>
        <w:t xml:space="preserve"> care este parte integrantă a prezentei decizii.</w:t>
      </w:r>
    </w:p>
    <w:p w:rsidR="00D1291A" w:rsidRPr="00314506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Pr="007210D6" w:rsidRDefault="00D1291A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D1291A" w:rsidRPr="00844819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Mijloacele prevăzute la punctul II din prezenta decizie sunt stabilite prin Hotărârea Adunării Provinciei privind bugetul Provinciei Autonome Voivodina pentru anul 2022, în cadrul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părţii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speciale Secretariatul Provincial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Educaţie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Administraţie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Minorităţile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Naţionale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–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Comunităţile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Naţionale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(în continuare: Secretariatul),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anume  la din Program 2003 –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Învăţământul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elementar, Activitatea de program 1006 –  Modernizarea infrastructurii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şcolilor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elementare, clasificarea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funcţională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910, clasificarea economică 4632 – Transferuri capitale altor niveluri ale puterii, sursa de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finanţare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01 00 – Venituri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încasări generale ale bugetului și se transferă beneficiarilor în conformitate cu afluența mijloacelor în bugetul P.A. Voivodina, respectiv cu posibilitățile de lichiditate ale bugetului.</w:t>
      </w:r>
    </w:p>
    <w:p w:rsidR="00D1291A" w:rsidRPr="00383214" w:rsidRDefault="00D1291A" w:rsidP="0038321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B22C37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D1291A" w:rsidRDefault="00D1291A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Beneficiarii au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obligaţia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ca la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lucrărilor să procedeze în conformitate cu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dispoziţiile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Legii privind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publice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actele adoptate în baza legii care reglementează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publice.</w:t>
      </w:r>
    </w:p>
    <w:p w:rsidR="00D1291A" w:rsidRPr="001F3FC2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înştiinţa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beneficiarii cu privire la repartizarea mijloacelor stabilită prin prezenta decizie.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8931E3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prelua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obligaţia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faţă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de beneficiari </w:t>
      </w:r>
      <w:r>
        <w:rPr>
          <w:rFonts w:ascii="Calibri" w:hAnsi="Calibri"/>
          <w:b/>
          <w:bCs/>
          <w:color w:val="000000"/>
          <w:sz w:val="22"/>
          <w:szCs w:val="22"/>
        </w:rPr>
        <w:t>în baza contractului în scris.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D1291A" w:rsidRPr="008931E3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 xml:space="preserve">Prezenta decizie este definitivă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împotriva ei nu se poate depune cale de atac.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 xml:space="preserve">Pentru executarea prezentei decizii este responsabil Sectorul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activităţi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material–financiare al Secretariatului.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Decizia se trimite:</w:t>
      </w:r>
    </w:p>
    <w:p w:rsidR="00FE0351" w:rsidRDefault="00D1291A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Sectorului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activităţi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material-</w:t>
      </w:r>
    </w:p>
    <w:p w:rsidR="00D1291A" w:rsidRDefault="00D1291A" w:rsidP="00FE0351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financiare al Secretariatului</w:t>
      </w:r>
    </w:p>
    <w:p w:rsidR="00D1291A" w:rsidRDefault="00D1291A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Arhivei</w:t>
      </w:r>
    </w:p>
    <w:p w:rsidR="00FE0351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4460" w:type="dxa"/>
        <w:tblInd w:w="4395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60"/>
      </w:tblGrid>
      <w:tr w:rsidR="007310E8" w:rsidRPr="00913DCE" w:rsidTr="007310E8">
        <w:tc>
          <w:tcPr>
            <w:tcW w:w="4460" w:type="dxa"/>
            <w:tcBorders>
              <w:bottom w:val="nil"/>
            </w:tcBorders>
          </w:tcPr>
          <w:p w:rsidR="007310E8" w:rsidRPr="00913DCE" w:rsidRDefault="007310E8" w:rsidP="007310E8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C.A. SECRETARULUI  PROVINCIAL         LOCȚIITOAREA SECRETARULUI  PROVINCIAL</w:t>
            </w:r>
          </w:p>
        </w:tc>
      </w:tr>
      <w:tr w:rsidR="007310E8" w:rsidRPr="00913DCE" w:rsidTr="007310E8">
        <w:tc>
          <w:tcPr>
            <w:tcW w:w="4460" w:type="dxa"/>
            <w:tcBorders>
              <w:bottom w:val="single" w:sz="4" w:space="0" w:color="auto"/>
            </w:tcBorders>
            <w:vAlign w:val="center"/>
          </w:tcPr>
          <w:p w:rsidR="007310E8" w:rsidRPr="00913DCE" w:rsidRDefault="007310E8" w:rsidP="007310E8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7310E8" w:rsidRPr="00B37BD4" w:rsidTr="007310E8">
        <w:tc>
          <w:tcPr>
            <w:tcW w:w="4460" w:type="dxa"/>
            <w:tcBorders>
              <w:top w:val="single" w:sz="4" w:space="0" w:color="auto"/>
              <w:bottom w:val="nil"/>
            </w:tcBorders>
          </w:tcPr>
          <w:p w:rsidR="007310E8" w:rsidRPr="00B37BD4" w:rsidRDefault="007310E8" w:rsidP="007310E8">
            <w:pPr>
              <w:jc w:val="center"/>
              <w:rPr>
                <w:rFonts w:ascii="Calibri" w:hAnsi="Calibri" w:cs="Calibri"/>
                <w:szCs w:val="20"/>
              </w:rPr>
            </w:pPr>
            <w:proofErr w:type="spellStart"/>
            <w:r>
              <w:rPr>
                <w:rFonts w:ascii="Calibri" w:hAnsi="Calibri"/>
                <w:sz w:val="22"/>
                <w:szCs w:val="20"/>
              </w:rPr>
              <w:t>Slađana</w:t>
            </w:r>
            <w:proofErr w:type="spellEnd"/>
            <w:r>
              <w:rPr>
                <w:rFonts w:ascii="Calibri" w:hAnsi="Calibri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0"/>
              </w:rPr>
              <w:t>Bursać</w:t>
            </w:r>
            <w:proofErr w:type="spellEnd"/>
            <w:r>
              <w:rPr>
                <w:rFonts w:ascii="Calibri" w:hAnsi="Calibri"/>
                <w:sz w:val="22"/>
                <w:szCs w:val="20"/>
              </w:rPr>
              <w:t xml:space="preserve"> </w:t>
            </w:r>
          </w:p>
        </w:tc>
      </w:tr>
    </w:tbl>
    <w:p w:rsidR="00FE0351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8A6" w:rsidRDefault="00BD28A6">
      <w:r>
        <w:separator/>
      </w:r>
    </w:p>
  </w:endnote>
  <w:endnote w:type="continuationSeparator" w:id="0">
    <w:p w:rsidR="00BD28A6" w:rsidRDefault="00BD2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8A6" w:rsidRDefault="00BD28A6">
      <w:r>
        <w:separator/>
      </w:r>
    </w:p>
  </w:footnote>
  <w:footnote w:type="continuationSeparator" w:id="0">
    <w:p w:rsidR="00BD28A6" w:rsidRDefault="00BD2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2.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32D30"/>
    <w:rsid w:val="00156793"/>
    <w:rsid w:val="00156E93"/>
    <w:rsid w:val="001647F0"/>
    <w:rsid w:val="00165069"/>
    <w:rsid w:val="001871F9"/>
    <w:rsid w:val="001948FD"/>
    <w:rsid w:val="001A66CB"/>
    <w:rsid w:val="001D0B91"/>
    <w:rsid w:val="001D2378"/>
    <w:rsid w:val="001E054C"/>
    <w:rsid w:val="001F1B31"/>
    <w:rsid w:val="001F3FC2"/>
    <w:rsid w:val="001F5F77"/>
    <w:rsid w:val="00203FBB"/>
    <w:rsid w:val="00207877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31"/>
    <w:rsid w:val="00337AFB"/>
    <w:rsid w:val="00341F95"/>
    <w:rsid w:val="00347184"/>
    <w:rsid w:val="003522F5"/>
    <w:rsid w:val="00352D8B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30FA"/>
    <w:rsid w:val="004741BB"/>
    <w:rsid w:val="00484A54"/>
    <w:rsid w:val="004A526F"/>
    <w:rsid w:val="004C23D1"/>
    <w:rsid w:val="004C65F5"/>
    <w:rsid w:val="004D2106"/>
    <w:rsid w:val="004F18E3"/>
    <w:rsid w:val="00503C57"/>
    <w:rsid w:val="00514968"/>
    <w:rsid w:val="005160A7"/>
    <w:rsid w:val="00526746"/>
    <w:rsid w:val="00540176"/>
    <w:rsid w:val="00541125"/>
    <w:rsid w:val="00553800"/>
    <w:rsid w:val="0055754F"/>
    <w:rsid w:val="0055783B"/>
    <w:rsid w:val="005752E4"/>
    <w:rsid w:val="0059185A"/>
    <w:rsid w:val="005C5112"/>
    <w:rsid w:val="005D479F"/>
    <w:rsid w:val="005D75D3"/>
    <w:rsid w:val="005E012E"/>
    <w:rsid w:val="005E3580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E0745"/>
    <w:rsid w:val="006E13F1"/>
    <w:rsid w:val="006F3E67"/>
    <w:rsid w:val="006F5950"/>
    <w:rsid w:val="007039DB"/>
    <w:rsid w:val="007141F7"/>
    <w:rsid w:val="007210D6"/>
    <w:rsid w:val="007234B6"/>
    <w:rsid w:val="007310E8"/>
    <w:rsid w:val="00733073"/>
    <w:rsid w:val="0073500E"/>
    <w:rsid w:val="007371FF"/>
    <w:rsid w:val="00757218"/>
    <w:rsid w:val="007609AB"/>
    <w:rsid w:val="007710C4"/>
    <w:rsid w:val="00796FDE"/>
    <w:rsid w:val="00797CAE"/>
    <w:rsid w:val="007B12C0"/>
    <w:rsid w:val="007B422F"/>
    <w:rsid w:val="007C3A30"/>
    <w:rsid w:val="007D382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41E9"/>
    <w:rsid w:val="00A630E8"/>
    <w:rsid w:val="00A767F1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5C2"/>
    <w:rsid w:val="00AB5E30"/>
    <w:rsid w:val="00AC5986"/>
    <w:rsid w:val="00AD1F6C"/>
    <w:rsid w:val="00AE0609"/>
    <w:rsid w:val="00AE4C54"/>
    <w:rsid w:val="00AF35BE"/>
    <w:rsid w:val="00AF7915"/>
    <w:rsid w:val="00B22101"/>
    <w:rsid w:val="00B22C37"/>
    <w:rsid w:val="00B249C2"/>
    <w:rsid w:val="00B25D00"/>
    <w:rsid w:val="00B2677B"/>
    <w:rsid w:val="00B32586"/>
    <w:rsid w:val="00B85F02"/>
    <w:rsid w:val="00BA2BD6"/>
    <w:rsid w:val="00BA66F9"/>
    <w:rsid w:val="00BB065E"/>
    <w:rsid w:val="00BB27A6"/>
    <w:rsid w:val="00BC56DB"/>
    <w:rsid w:val="00BC7B0D"/>
    <w:rsid w:val="00BD28A6"/>
    <w:rsid w:val="00BD44AD"/>
    <w:rsid w:val="00BD7979"/>
    <w:rsid w:val="00BE2605"/>
    <w:rsid w:val="00BE5376"/>
    <w:rsid w:val="00BF2C3F"/>
    <w:rsid w:val="00BF6D6A"/>
    <w:rsid w:val="00C0736B"/>
    <w:rsid w:val="00C12676"/>
    <w:rsid w:val="00C16318"/>
    <w:rsid w:val="00C167EF"/>
    <w:rsid w:val="00C235F8"/>
    <w:rsid w:val="00C250AE"/>
    <w:rsid w:val="00C50A6B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20A1B"/>
    <w:rsid w:val="00D52F16"/>
    <w:rsid w:val="00D5720D"/>
    <w:rsid w:val="00D61DE0"/>
    <w:rsid w:val="00D8197A"/>
    <w:rsid w:val="00DA1D39"/>
    <w:rsid w:val="00DA25FA"/>
    <w:rsid w:val="00DC15F2"/>
    <w:rsid w:val="00DC2BA2"/>
    <w:rsid w:val="00DC6558"/>
    <w:rsid w:val="00DD24FB"/>
    <w:rsid w:val="00E04639"/>
    <w:rsid w:val="00E23186"/>
    <w:rsid w:val="00E27C72"/>
    <w:rsid w:val="00E314A3"/>
    <w:rsid w:val="00E33F02"/>
    <w:rsid w:val="00E34AB4"/>
    <w:rsid w:val="00E43122"/>
    <w:rsid w:val="00E50EF2"/>
    <w:rsid w:val="00E53184"/>
    <w:rsid w:val="00E56702"/>
    <w:rsid w:val="00E7534A"/>
    <w:rsid w:val="00E84452"/>
    <w:rsid w:val="00EA1662"/>
    <w:rsid w:val="00EA3B1C"/>
    <w:rsid w:val="00EB04F9"/>
    <w:rsid w:val="00EB547B"/>
    <w:rsid w:val="00EC7BCB"/>
    <w:rsid w:val="00EE009D"/>
    <w:rsid w:val="00EF0C6B"/>
    <w:rsid w:val="00EF4D6F"/>
    <w:rsid w:val="00F10B4F"/>
    <w:rsid w:val="00F11720"/>
    <w:rsid w:val="00F11E37"/>
    <w:rsid w:val="00F303AE"/>
    <w:rsid w:val="00F430D3"/>
    <w:rsid w:val="00F565D2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E7848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27B7AD"/>
  <w15:docId w15:val="{FD81857F-092D-4A04-8E21-17388F9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ro-RO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ro-RO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ro-RO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ro-RO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Vladimir Mitrovic</cp:lastModifiedBy>
  <cp:revision>3</cp:revision>
  <cp:lastPrinted>2022-10-27T10:07:00Z</cp:lastPrinted>
  <dcterms:created xsi:type="dcterms:W3CDTF">2022-10-27T12:13:00Z</dcterms:created>
  <dcterms:modified xsi:type="dcterms:W3CDTF">2022-10-28T09:28:00Z</dcterms:modified>
</cp:coreProperties>
</file>