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14:paraId="0764202A" w14:textId="77777777" w:rsidR="00B80683" w:rsidRPr="006045E7" w:rsidRDefault="00B80683" w:rsidP="0005265E">
            <w:pPr>
              <w:spacing w:after="0" w:line="240" w:lineRule="auto"/>
              <w:rPr>
                <w:sz w:val="18"/>
                <w:szCs w:val="20"/>
              </w:rPr>
            </w:pPr>
            <w:r>
              <w:rPr>
                <w:sz w:val="18"/>
                <w:szCs w:val="20"/>
              </w:rPr>
              <w:t>Provincia Autonomă Voivodina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Secretariatul Provincial pentru Educaţie, Reglementări,</w:t>
            </w:r>
          </w:p>
          <w:p w14:paraId="11BDBDEE" w14:textId="77777777" w:rsidR="00B80683" w:rsidRPr="006045E7" w:rsidRDefault="00B80683" w:rsidP="0005265E">
            <w:pPr>
              <w:spacing w:after="0" w:line="240" w:lineRule="auto"/>
              <w:rPr>
                <w:rFonts w:cs="Arial"/>
                <w:b/>
              </w:rPr>
            </w:pPr>
            <w:r>
              <w:rPr>
                <w:b/>
              </w:rPr>
              <w:t>Administraţie şi Minorităţile Naţionale - Comunităţile Naţionale</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2C4580D4" w:rsidR="00B80683" w:rsidRPr="00BD6C4F" w:rsidRDefault="00B80683" w:rsidP="0005265E">
            <w:pPr>
              <w:tabs>
                <w:tab w:val="center" w:pos="4703"/>
                <w:tab w:val="right" w:pos="9406"/>
              </w:tabs>
              <w:spacing w:after="0" w:line="240" w:lineRule="auto"/>
              <w:rPr>
                <w:sz w:val="16"/>
                <w:szCs w:val="16"/>
              </w:rPr>
            </w:pPr>
            <w:r>
              <w:rPr>
                <w:sz w:val="16"/>
                <w:szCs w:val="16"/>
              </w:rPr>
              <w:t>NUMĂRUL: 128-111-108/03.03.2023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DATA:</w:t>
            </w:r>
            <w:r>
              <w:rPr>
                <w:color w:val="000000" w:themeColor="text1"/>
                <w:sz w:val="16"/>
                <w:szCs w:val="16"/>
              </w:rPr>
              <w:t xml:space="preserve"> 18.10.2023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În baza articolului 102 din Legea privind angajații în provinciile autonome și unitățile autoguvernării locale („Monitorul oficial al R.S.” numerele: 21/16, 113/17, 113/17-altă lege, 95/18 şi 114/21) și articolului 11 din Ordonanța privind realizarea concursului intern și public pentru completarea locurilor de muncă în provinciile autonome și unitățile autoguvernării locale („Monitorul oficial al R.S.” numărul: 95/16 şi 12/22), se publică </w:t>
      </w:r>
    </w:p>
    <w:p w14:paraId="6D48DE8D" w14:textId="13BBF41B" w:rsidR="0033165F" w:rsidRDefault="00BD6C4F" w:rsidP="0033165F">
      <w:pPr>
        <w:shd w:val="clear" w:color="auto" w:fill="FFFFFF"/>
        <w:jc w:val="center"/>
        <w:rPr>
          <w:rFonts w:eastAsia="Times New Roman"/>
          <w:sz w:val="20"/>
          <w:szCs w:val="20"/>
        </w:rPr>
      </w:pPr>
      <w:r>
        <w:rPr>
          <w:b/>
          <w:bCs/>
          <w:sz w:val="20"/>
          <w:szCs w:val="20"/>
        </w:rPr>
        <w:t>CONCURSUL PUBLIC PENTRU COMPLETAREA LOCULUI DE MUNCĂ EXECUTIV LA SECRETARIATUL  PROVINCIAL PENTRU EDUCAȚIE, REGLEMENTĂRI, ADMINISTRAŢIE ŞI MINORITĂŢILE NAŢIONALE - COMUNITĂŢILE NAŢIONALE</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14:paraId="41FBA423" w14:textId="77777777"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14:paraId="5F4133EA" w14:textId="77777777" w:rsidR="00C443B0" w:rsidRDefault="00C443B0" w:rsidP="00C443B0">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pentru activități administrative 1 executant, pe timp nedeterminat</w:t>
      </w:r>
    </w:p>
    <w:p w14:paraId="63718B05" w14:textId="77777777" w:rsidR="00C443B0" w:rsidRDefault="00C443B0" w:rsidP="00C443B0">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14:paraId="15EF380E" w14:textId="77777777" w:rsidR="00C443B0" w:rsidRPr="00077042" w:rsidRDefault="00C443B0" w:rsidP="00C443B0">
      <w:pPr>
        <w:spacing w:before="120" w:after="120" w:line="240" w:lineRule="auto"/>
        <w:ind w:firstLine="720"/>
        <w:jc w:val="both"/>
        <w:rPr>
          <w:rFonts w:asciiTheme="minorHAnsi" w:eastAsia="Times New Roman" w:hAnsiTheme="minorHAnsi" w:cstheme="minorHAnsi"/>
          <w:noProof/>
          <w:sz w:val="20"/>
          <w:szCs w:val="20"/>
        </w:rPr>
      </w:pPr>
      <w:r>
        <w:rPr>
          <w:rFonts w:asciiTheme="minorHAnsi" w:hAnsiTheme="minorHAnsi"/>
          <w:sz w:val="20"/>
          <w:szCs w:val="20"/>
        </w:rPr>
        <w:t>Efectuează activități administrative-tehnice complexe și activități de achiziții publice legate de investiții în domeniile din sfera de atribuții a Secretariatului, care necesită competențe speciale, monitorizează implementarea legilor și a altor reglementări care reglementează reparațiile curente, întreținerea prin investiții și investițiile, sesizează problemele în aplicarea acestora și îl informează despre aceasta pe secretarul provincial; examinează, sistematizează și monitorizează starea clădirilor și echipamentelor și nevoia de reparații curente, întreținere prin investiții și investiții în domeniul educației; participă la pregătirea și realizarea concursurilor, examinează documentația și rapoartele referitoare la concursurile pentru reparații curente, întreținere prin investiții și investiții, participă la întocmirea contractelor pentru executarea lucrărilor în domeniul reparațiilor curente,  întreținerii prin investiții și investițiilor, precum și la achiziționarea de echipamente de investiții; participă la întocmirea rapoartelor periodice și anuale, a informațiilor, analizelor în domeniul reparatiilor curente, întreținerii prin investiții și a investițiilor; efectuează activități legate de planificarea și realizarea achizițiilor publice în legătură cu concursurile pentru reparații curente, întreținerea prin investiții și investiții.</w:t>
      </w:r>
    </w:p>
    <w:p w14:paraId="15462085" w14:textId="77777777" w:rsidR="00C443B0" w:rsidRPr="00077042" w:rsidRDefault="00C443B0" w:rsidP="00C443B0">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iCs/>
          <w:sz w:val="20"/>
          <w:szCs w:val="20"/>
        </w:rPr>
        <w:t xml:space="preserve">Condițiile: </w:t>
      </w:r>
      <w:r>
        <w:rPr>
          <w:rFonts w:asciiTheme="minorHAnsi" w:hAnsiTheme="minorHAnsi"/>
          <w:sz w:val="20"/>
          <w:szCs w:val="20"/>
        </w:rPr>
        <w:t>studii superioare dobândite în domeniul științelor tehnico-tehnologice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în domeniul de specialitate, nivel de bază de cunoștințe la calculator, examenul de stat de specialitate promovat, precum și competențe necesare pentru îndeplinirea activităţilor.</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public să fie cetățean major al Republicii Serbia; să aibă gradul de instruire prevăzut, să nu fi fost condamnat la </w:t>
      </w:r>
      <w:r>
        <w:rPr>
          <w:sz w:val="20"/>
          <w:szCs w:val="20"/>
        </w:rPr>
        <w:lastRenderedPageBreak/>
        <w:t>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reglementări şi de actul de sistematizare a locurilor de muncă.</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14:paraId="6BEF0FBC" w14:textId="77777777" w:rsidR="00C443B0" w:rsidRDefault="00C443B0" w:rsidP="00C443B0">
      <w:pPr>
        <w:spacing w:before="120" w:after="120"/>
        <w:contextualSpacing/>
        <w:rPr>
          <w:rFonts w:eastAsia="Times New Roman"/>
          <w:sz w:val="20"/>
          <w:szCs w:val="20"/>
        </w:rPr>
      </w:pPr>
      <w:r>
        <w:rPr>
          <w:sz w:val="20"/>
          <w:szCs w:val="20"/>
        </w:rPr>
        <w:t>În procedura de selecție se vor testa următoarele competențe:</w:t>
      </w:r>
    </w:p>
    <w:p w14:paraId="4D3BA006" w14:textId="77777777" w:rsidR="00C443B0" w:rsidRDefault="00C443B0" w:rsidP="00C443B0">
      <w:pPr>
        <w:spacing w:before="120" w:after="120"/>
        <w:contextualSpacing/>
        <w:rPr>
          <w:rFonts w:eastAsia="Times New Roman"/>
          <w:sz w:val="20"/>
          <w:szCs w:val="20"/>
          <w:lang w:val="sr-Cyrl-RS" w:eastAsia="en-GB"/>
        </w:rPr>
      </w:pPr>
    </w:p>
    <w:p w14:paraId="0376E26C" w14:textId="77777777" w:rsidR="00C443B0" w:rsidRPr="00D331E3" w:rsidRDefault="00C443B0" w:rsidP="00C443B0">
      <w:pPr>
        <w:pStyle w:val="ListParagraph"/>
        <w:numPr>
          <w:ilvl w:val="0"/>
          <w:numId w:val="6"/>
        </w:numPr>
        <w:spacing w:before="120" w:after="120"/>
        <w:rPr>
          <w:rFonts w:eastAsia="Times New Roman"/>
          <w:sz w:val="20"/>
          <w:szCs w:val="20"/>
        </w:rPr>
      </w:pPr>
      <w:r>
        <w:rPr>
          <w:sz w:val="20"/>
          <w:szCs w:val="20"/>
        </w:rPr>
        <w:t>Competențele funcționale generale:</w:t>
      </w:r>
    </w:p>
    <w:p w14:paraId="02D8ED5B" w14:textId="77777777" w:rsidR="00C443B0" w:rsidRPr="00D331E3" w:rsidRDefault="00C443B0" w:rsidP="00C443B0">
      <w:pPr>
        <w:pStyle w:val="ListParagraph"/>
        <w:spacing w:before="120" w:after="120"/>
        <w:rPr>
          <w:rFonts w:eastAsia="Times New Roman"/>
          <w:sz w:val="20"/>
          <w:szCs w:val="20"/>
        </w:rPr>
      </w:pPr>
      <w:r>
        <w:rPr>
          <w:sz w:val="20"/>
          <w:szCs w:val="20"/>
        </w:rPr>
        <w:t>-organizarea și activitatea organelor Provinciei Autonome-se va verifica prin test (în scris)</w:t>
      </w:r>
    </w:p>
    <w:p w14:paraId="57165E4D" w14:textId="77777777" w:rsidR="00C443B0" w:rsidRPr="00D331E3" w:rsidRDefault="00C443B0" w:rsidP="00C443B0">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14:paraId="102C8A31" w14:textId="77777777" w:rsidR="00C443B0" w:rsidRDefault="00C443B0" w:rsidP="00C443B0">
      <w:pPr>
        <w:pStyle w:val="ListParagraph"/>
        <w:spacing w:before="120" w:after="120"/>
        <w:rPr>
          <w:rFonts w:eastAsia="Times New Roman"/>
          <w:sz w:val="20"/>
          <w:szCs w:val="20"/>
        </w:rPr>
      </w:pPr>
      <w:r>
        <w:rPr>
          <w:sz w:val="20"/>
          <w:szCs w:val="20"/>
        </w:rPr>
        <w:t>- comunicarea în afaceri - se va verifica prin test (în scris)</w:t>
      </w:r>
    </w:p>
    <w:p w14:paraId="17BE3898" w14:textId="77777777" w:rsidR="00C443B0" w:rsidRPr="00EA1409" w:rsidRDefault="00C443B0" w:rsidP="00C443B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778DDAEF" w14:textId="77777777" w:rsidR="00C443B0" w:rsidRPr="00650C62" w:rsidRDefault="00C443B0" w:rsidP="00C443B0">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14:paraId="1814FA1D" w14:textId="77777777" w:rsidR="00C443B0" w:rsidRDefault="00C443B0" w:rsidP="00C443B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14:paraId="77CBE49A" w14:textId="77777777" w:rsidR="00C443B0" w:rsidRDefault="00C443B0" w:rsidP="00C443B0">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14:paraId="640DDF61" w14:textId="77777777" w:rsidR="00C443B0" w:rsidRPr="001B0F25" w:rsidRDefault="00C443B0" w:rsidP="00C443B0">
      <w:pPr>
        <w:pStyle w:val="ListParagraph"/>
        <w:shd w:val="clear" w:color="auto" w:fill="FFFFFF"/>
        <w:spacing w:line="345" w:lineRule="atLeast"/>
        <w:rPr>
          <w:rFonts w:eastAsia="Times New Roman"/>
          <w:sz w:val="20"/>
          <w:szCs w:val="20"/>
        </w:rPr>
      </w:pPr>
      <w: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5) metode de ținere a registrelor interne și de livrare și</w:t>
      </w:r>
    </w:p>
    <w:p w14:paraId="033F7AC3" w14:textId="77777777" w:rsidR="00C443B0" w:rsidRPr="001B0F25" w:rsidRDefault="00C443B0" w:rsidP="00C443B0">
      <w:pPr>
        <w:pStyle w:val="ListParagraph"/>
        <w:shd w:val="clear" w:color="auto" w:fill="FFFFFF"/>
        <w:spacing w:line="345" w:lineRule="atLeast"/>
        <w:rPr>
          <w:rFonts w:eastAsia="Times New Roman"/>
          <w:sz w:val="20"/>
          <w:szCs w:val="20"/>
          <w:lang w:val="sr-Cyrl-RS" w:eastAsia="en-GB"/>
        </w:rPr>
      </w:pPr>
    </w:p>
    <w:p w14:paraId="35553B3F" w14:textId="77777777" w:rsidR="00C443B0" w:rsidRPr="008820A1" w:rsidRDefault="00C443B0" w:rsidP="00C443B0">
      <w:pPr>
        <w:pStyle w:val="ListParagraph"/>
        <w:shd w:val="clear" w:color="auto" w:fill="FFFFFF"/>
        <w:spacing w:line="345" w:lineRule="atLeast"/>
        <w:rPr>
          <w:rFonts w:eastAsia="Times New Roman"/>
          <w:sz w:val="20"/>
          <w:szCs w:val="20"/>
        </w:rPr>
      </w:pPr>
      <w:r>
        <w:rPr>
          <w:sz w:val="20"/>
          <w:szCs w:val="20"/>
        </w:rPr>
        <w:t>-Activitățile de achiziții publice ((1) metodologia pentru pregătirea documentației privind achiziția în procedura de achiziții publice, 2) metodologia pentru deschiderea și evaluarea profesională a ofertelor și deciderea privind rezultatul procedurii de achiziție publică; 3) metodologia de monitorizare a modificării contractului privind achiziția publică), vor fi verificate printr-o simulare în scris</w:t>
      </w:r>
      <w:r>
        <w:rPr>
          <w:color w:val="000000"/>
          <w:sz w:val="20"/>
          <w:szCs w:val="20"/>
        </w:rPr>
        <w:t xml:space="preserve"> </w:t>
      </w:r>
    </w:p>
    <w:p w14:paraId="21CEA068" w14:textId="77777777" w:rsidR="00C443B0" w:rsidRPr="00B96A10" w:rsidRDefault="00C443B0" w:rsidP="00C443B0">
      <w:pPr>
        <w:pStyle w:val="ListParagraph"/>
        <w:shd w:val="clear" w:color="auto" w:fill="FFFFFF"/>
        <w:spacing w:after="225" w:line="345" w:lineRule="atLeast"/>
        <w:rPr>
          <w:rFonts w:eastAsia="Times New Roman"/>
          <w:sz w:val="20"/>
          <w:szCs w:val="20"/>
          <w:lang w:val="sr-Cyrl-RS" w:eastAsia="en-GB"/>
        </w:rPr>
      </w:pPr>
    </w:p>
    <w:p w14:paraId="0EEC68F6" w14:textId="77777777" w:rsidR="00C443B0" w:rsidRDefault="00C443B0" w:rsidP="00C443B0">
      <w:pPr>
        <w:pStyle w:val="ListParagraph"/>
        <w:rPr>
          <w:rFonts w:eastAsia="Times New Roman"/>
          <w:sz w:val="20"/>
          <w:szCs w:val="20"/>
        </w:rPr>
      </w:pPr>
      <w:r>
        <w:rPr>
          <w:sz w:val="20"/>
          <w:szCs w:val="20"/>
        </w:rPr>
        <w:t>2-b) pentru un anumit loc de muncă:</w:t>
      </w:r>
    </w:p>
    <w:p w14:paraId="1E835B2B" w14:textId="77777777" w:rsidR="00C443B0" w:rsidRPr="00455E6D" w:rsidRDefault="00C443B0" w:rsidP="00C443B0">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14:paraId="304D4422" w14:textId="77777777" w:rsidR="00C443B0" w:rsidRPr="00077042" w:rsidRDefault="00C443B0" w:rsidP="00C443B0">
      <w:pPr>
        <w:pStyle w:val="ListParagraph"/>
        <w:rPr>
          <w:rFonts w:eastAsia="Times New Roman" w:cs="Times New Roman"/>
          <w:sz w:val="20"/>
          <w:szCs w:val="20"/>
        </w:rPr>
      </w:pPr>
      <w:r>
        <w:rPr>
          <w:sz w:val="20"/>
          <w:szCs w:val="20"/>
        </w:rPr>
        <w:t>- reglementări relevante din sfera de atribuţii a locului de muncă: legii privind achizițiile publice, Legea privind planificarea și construcțiile, Ordonanța privind managementul de birou al organelor administrației de stat - vor fi verificate printr-o simulare în scris.</w:t>
      </w:r>
    </w:p>
    <w:p w14:paraId="1F3B9915" w14:textId="77777777" w:rsidR="00C443B0" w:rsidRPr="00B96A10" w:rsidRDefault="00C443B0" w:rsidP="00C443B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14:paraId="65B5B498" w14:textId="1165EF14"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public: </w:t>
      </w:r>
      <w:r>
        <w:rPr>
          <w:sz w:val="20"/>
          <w:szCs w:val="20"/>
          <w:shd w:val="clear" w:color="auto" w:fill="FFFFFF"/>
        </w:rPr>
        <w:t>Termenul de prezentare a cererilor este 15 zile și începe pe data de 20.10.2023 și expiră pe 03.11.2023.</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Iva Durutović telefon: 021/487-4693.</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lastRenderedPageBreak/>
        <w:t>VII Data publicării:</w:t>
      </w:r>
      <w:r>
        <w:rPr>
          <w:color w:val="000000" w:themeColor="text1"/>
          <w:sz w:val="20"/>
          <w:szCs w:val="20"/>
          <w:shd w:val="clear" w:color="auto" w:fill="FFFFFF"/>
        </w:rPr>
        <w:t xml:space="preserve"> 19.10.2023 </w:t>
      </w:r>
    </w:p>
    <w:p w14:paraId="0F693722" w14:textId="5F2BA36E"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public pentru completarea locului de muncă  consilier pentru activități administrative  - 1 executant”.</w:t>
      </w:r>
    </w:p>
    <w:p w14:paraId="1E637C41" w14:textId="27BAFCCB" w:rsidR="00C443B0" w:rsidRPr="00D2653B" w:rsidRDefault="00C443B0" w:rsidP="00C443B0">
      <w:pPr>
        <w:rPr>
          <w:rFonts w:eastAsia="Times New Roman"/>
          <w:sz w:val="20"/>
          <w:szCs w:val="20"/>
        </w:rPr>
      </w:pPr>
      <w:r>
        <w:rPr>
          <w:b/>
          <w:bCs/>
          <w:sz w:val="20"/>
          <w:szCs w:val="20"/>
          <w:shd w:val="clear" w:color="auto" w:fill="FFFFFF"/>
        </w:rPr>
        <w:t>IX Dovezile care se prezintă anexate cererii la concursul public</w:t>
      </w:r>
      <w:r>
        <w:rPr>
          <w:sz w:val="20"/>
          <w:szCs w:val="20"/>
        </w:rPr>
        <w:t>: </w:t>
      </w:r>
    </w:p>
    <w:p w14:paraId="69A28CAC" w14:textId="477AA696" w:rsidR="00C443B0" w:rsidRPr="003B47C6" w:rsidRDefault="00C443B0" w:rsidP="00C443B0">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public alege dacă va procura singur dovezi privind faptele despre care se ține evidența oficială sau organul o va face în locul acestuia; </w:t>
      </w:r>
    </w:p>
    <w:p w14:paraId="1BFB9221" w14:textId="77777777" w:rsidR="00C443B0" w:rsidRPr="003B47C6" w:rsidRDefault="00C443B0" w:rsidP="00C443B0">
      <w:pPr>
        <w:spacing w:after="0"/>
        <w:jc w:val="both"/>
        <w:rPr>
          <w:rFonts w:eastAsia="Times New Roman"/>
          <w:sz w:val="20"/>
          <w:szCs w:val="20"/>
        </w:rPr>
      </w:pPr>
      <w:r>
        <w:rPr>
          <w:sz w:val="20"/>
          <w:szCs w:val="20"/>
        </w:rPr>
        <w:t>2. biografie cu mențiuni privind experiența în muncă de până în prezent;</w:t>
      </w:r>
    </w:p>
    <w:p w14:paraId="1D21C831" w14:textId="77777777" w:rsidR="00C443B0" w:rsidRPr="003B47C6" w:rsidRDefault="00C443B0" w:rsidP="00C443B0">
      <w:pPr>
        <w:spacing w:after="0"/>
        <w:jc w:val="both"/>
        <w:rPr>
          <w:rFonts w:eastAsia="Times New Roman"/>
          <w:sz w:val="20"/>
          <w:szCs w:val="20"/>
        </w:rPr>
      </w:pPr>
      <w:r>
        <w:rPr>
          <w:sz w:val="20"/>
          <w:szCs w:val="20"/>
        </w:rPr>
        <w:t xml:space="preserve">3. originalul sau fotocopia autentificată a certificatului de cetăţenie; </w:t>
      </w:r>
    </w:p>
    <w:p w14:paraId="3409CF3A" w14:textId="77777777" w:rsidR="00C443B0" w:rsidRPr="0095234D" w:rsidRDefault="00C443B0" w:rsidP="00C443B0">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14:paraId="775FAC39" w14:textId="5D5901FE" w:rsidR="00C443B0" w:rsidRPr="003B47C6" w:rsidRDefault="00C443B0" w:rsidP="00C443B0">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public; </w:t>
      </w:r>
    </w:p>
    <w:p w14:paraId="2C5F03D7" w14:textId="77777777" w:rsidR="00C443B0" w:rsidRPr="003B47C6" w:rsidRDefault="00C443B0" w:rsidP="00C443B0">
      <w:pPr>
        <w:spacing w:after="0"/>
        <w:jc w:val="both"/>
        <w:rPr>
          <w:rFonts w:eastAsia="Times New Roman"/>
          <w:sz w:val="20"/>
          <w:szCs w:val="20"/>
        </w:rPr>
      </w:pPr>
      <w:r>
        <w:rPr>
          <w:sz w:val="20"/>
          <w:szCs w:val="20"/>
        </w:rPr>
        <w:t>6. originalul sau fotocopia autentificată a diplomei care confirmă gradul de instruire;</w:t>
      </w:r>
    </w:p>
    <w:p w14:paraId="54230FC5" w14:textId="77777777" w:rsidR="00C443B0" w:rsidRDefault="00C443B0" w:rsidP="00C443B0">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14:paraId="6020C90A" w14:textId="77777777" w:rsidR="00C443B0" w:rsidRPr="003B47C6" w:rsidRDefault="00C443B0" w:rsidP="00C443B0">
      <w:pPr>
        <w:spacing w:after="0"/>
        <w:jc w:val="both"/>
        <w:rPr>
          <w:rFonts w:eastAsia="Times New Roman"/>
          <w:sz w:val="20"/>
          <w:szCs w:val="20"/>
        </w:rPr>
      </w:pPr>
      <w:r>
        <w:rPr>
          <w:sz w:val="20"/>
          <w:szCs w:val="20"/>
        </w:rPr>
        <w:t>8. declarație semnată (formularul 3) că, candidatului nu i-a încetat raportul de muncă la organul de stat, respectiv la organul Provinciei Autonome și unității autoguvernării locale, din cauza unei încălcări mai grave din  raportul de muncă,</w:t>
      </w:r>
    </w:p>
    <w:p w14:paraId="64CD619E" w14:textId="77777777" w:rsidR="00C443B0" w:rsidRPr="00EA1409" w:rsidRDefault="00C443B0" w:rsidP="00C443B0">
      <w:pPr>
        <w:spacing w:after="0"/>
        <w:jc w:val="both"/>
        <w:rPr>
          <w:rFonts w:eastAsia="Times New Roman"/>
          <w:sz w:val="20"/>
          <w:szCs w:val="20"/>
        </w:rPr>
      </w:pPr>
      <w:r>
        <w:rPr>
          <w:sz w:val="20"/>
          <w:szCs w:val="20"/>
        </w:rPr>
        <w:t>9. originalul sau fotocopia autentificată a dovezii privind cunoștințele de lucru la calculator (certificat valabil, adeverinţă sau altă dovadă adecvată privind cunoaşterea lucrului la calculator),</w:t>
      </w:r>
    </w:p>
    <w:p w14:paraId="3626D433" w14:textId="77777777" w:rsidR="00C443B0" w:rsidRDefault="00C443B0" w:rsidP="00C443B0">
      <w:pPr>
        <w:spacing w:after="0"/>
        <w:jc w:val="both"/>
        <w:rPr>
          <w:rFonts w:eastAsia="Times New Roman"/>
          <w:sz w:val="20"/>
          <w:szCs w:val="20"/>
        </w:rPr>
      </w:pPr>
      <w:r>
        <w:rPr>
          <w:sz w:val="20"/>
          <w:szCs w:val="20"/>
        </w:rPr>
        <w:t>10. originalul sau fotocopia autentificată a certificatului privind promovarea examenului de stat de specialitate.</w:t>
      </w:r>
    </w:p>
    <w:p w14:paraId="0AA76E4A" w14:textId="77777777" w:rsidR="00C443B0" w:rsidRPr="00EA1409" w:rsidRDefault="00C443B0" w:rsidP="00C443B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543EC47B" w14:textId="77777777" w:rsidR="00C443B0" w:rsidRDefault="00C443B0" w:rsidP="00C443B0">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9,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14:paraId="194BC192" w14:textId="50E24118" w:rsidR="00DD6BEA" w:rsidRDefault="00DD6BEA" w:rsidP="00B91F6A">
      <w:pPr>
        <w:jc w:val="both"/>
        <w:rPr>
          <w:rFonts w:eastAsia="Times New Roman"/>
          <w:sz w:val="20"/>
          <w:szCs w:val="20"/>
        </w:rPr>
      </w:pPr>
      <w:r>
        <w:rPr>
          <w:sz w:val="20"/>
          <w:szCs w:val="20"/>
          <w:shd w:val="clear" w:color="auto" w:fill="FFFFFF"/>
        </w:rPr>
        <w:t xml:space="preserve">Dovezile care se prezintă anexate cererii la prezentul concurs, și despre care se ține evidența oficiale sunt </w:t>
      </w:r>
      <w:r>
        <w:rPr>
          <w:sz w:val="20"/>
          <w:szCs w:val="20"/>
        </w:rPr>
        <w:t>certificatul de cetățenie, adeverința MAI că persoana nu a fost condamnată la o pedeapsă necondiționată cu închisoare de cel puțin șase luni, certificatul privind examenul de stat de specialitate promovat.</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lastRenderedPageBreak/>
        <w:t>Participantul la concursul public trebuie să se declare cu privire la faptul dacă organul va procura din oficiu dovezile menționate anterior de la organul care este competent pentru ținerea evidenței oficiale ori va procura el însuşi dovada menționată în termenul prevăzut.</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în cererea la concursul public să se declare aparte în scris și să semneze declarația care este parte integrantă a concursului public-(formularul 1) Declarația privind acordarea consimţământului pentru folosirea datelor personale cu scopul colectării datelor pentru dovada menționată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Dacă participantul la concursul public alege</w:t>
      </w:r>
      <w:r>
        <w:rPr>
          <w:b/>
          <w:bCs/>
          <w:sz w:val="20"/>
          <w:szCs w:val="20"/>
          <w:shd w:val="clear" w:color="auto" w:fill="FFFFFF"/>
        </w:rPr>
        <w:t xml:space="preserve"> să procure el însuşi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public să se declare aparte în scris și să semneze declarația care este parte integrantă a concursului public-(formularul 2)</w:t>
      </w:r>
    </w:p>
    <w:p w14:paraId="1FA2EF3A" w14:textId="0CC63002"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10.11.2023, fapt despre care  participanții la concurs vor fi informați la numerele de telefon pe care le-au menţionat în cererile lor și prin e-mail la adresele de e-mail.</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public) în original sau fotocopia autentificată de organul competent pentru autentificarea fotocopiilor, vor fi respinse prin Decizia Comisiei de concurs.</w:t>
      </w:r>
      <w:r>
        <w:rPr>
          <w:sz w:val="20"/>
          <w:szCs w:val="20"/>
        </w:rPr>
        <w:br/>
      </w:r>
      <w:r>
        <w:rPr>
          <w:sz w:val="20"/>
          <w:szCs w:val="20"/>
          <w:shd w:val="clear" w:color="auto" w:fill="FFFFFF"/>
        </w:rPr>
        <w:t>Concursul public îl desfăşoară Comisia de concurs înființată prin decizia secretarului provincial.</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rFonts w:eastAsia="Times New Roman"/>
          <w:sz w:val="20"/>
          <w:szCs w:val="20"/>
          <w:shd w:val="clear" w:color="auto" w:fill="FFFFFF"/>
        </w:rPr>
      </w:pPr>
      <w:r>
        <w:rPr>
          <w:sz w:val="20"/>
          <w:szCs w:val="20"/>
          <w:shd w:val="clear" w:color="auto" w:fill="FFFFFF"/>
        </w:rPr>
        <w:t>Prezentul concurs public se publică pe afișierul și pe site-ul Secretariatului și pe pagina de internet a Serviciului de Administrare a Resurselor Umane, iar în cotidianul „Alo” se publică informația privind concursul public.</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bCs/>
          <w:sz w:val="20"/>
          <w:szCs w:val="20"/>
        </w:rPr>
        <w:t>FORMULARUL  1</w:t>
      </w:r>
    </w:p>
    <w:p w14:paraId="5A96944B" w14:textId="5A40CB04"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sz w:val="20"/>
          <w:szCs w:val="20"/>
        </w:rPr>
        <w:t xml:space="preserve">сonsilier pentru activități administrative </w:t>
      </w:r>
      <w:r>
        <w:rPr>
          <w:color w:val="000000"/>
          <w:sz w:val="20"/>
          <w:szCs w:val="20"/>
        </w:rPr>
        <w:t>la</w:t>
      </w:r>
      <w:r>
        <w:rPr>
          <w:b/>
          <w:color w:val="000000"/>
          <w:sz w:val="20"/>
          <w:szCs w:val="20"/>
        </w:rPr>
        <w:t xml:space="preserve"> </w:t>
      </w:r>
      <w:r>
        <w:rPr>
          <w:color w:val="000000"/>
          <w:sz w:val="20"/>
          <w:szCs w:val="20"/>
        </w:rPr>
        <w:t>Secretariatul Provincial pentru Educație, Reglementaări, Administrație și Minoritățile Naționale - Comunitățile Naționale, fac următoarea</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Dovada de cetățenie</w:t>
      </w:r>
    </w:p>
    <w:p w14:paraId="7AA3AB6E" w14:textId="77777777" w:rsidR="00DD6BEA" w:rsidRPr="00E25B08" w:rsidRDefault="00DD6BEA" w:rsidP="00DD6BEA">
      <w:pPr>
        <w:pStyle w:val="ListParagraph"/>
        <w:numPr>
          <w:ilvl w:val="0"/>
          <w:numId w:val="2"/>
        </w:numPr>
        <w:rPr>
          <w:sz w:val="20"/>
          <w:szCs w:val="20"/>
        </w:rPr>
      </w:pPr>
      <w:r>
        <w:rPr>
          <w:sz w:val="20"/>
          <w:szCs w:val="20"/>
        </w:rPr>
        <w:t>Dovada că, candidatul nu a fost condamnat la închisoare necondiționată de cel puțin șase luni</w:t>
      </w:r>
    </w:p>
    <w:p w14:paraId="73F49697" w14:textId="77777777" w:rsidR="00DD6BEA" w:rsidRPr="00DD0569" w:rsidRDefault="00DD6BEA" w:rsidP="00DD6BEA">
      <w:pPr>
        <w:pStyle w:val="ListParagraph"/>
        <w:numPr>
          <w:ilvl w:val="0"/>
          <w:numId w:val="2"/>
        </w:numPr>
        <w:rPr>
          <w:sz w:val="20"/>
          <w:szCs w:val="20"/>
        </w:rPr>
      </w:pPr>
      <w:r>
        <w:rPr>
          <w:sz w:val="20"/>
          <w:szCs w:val="20"/>
        </w:rPr>
        <w:t>Adeverința de promovare a examenului de stat de specialitate</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(locul și data)                             (semnătura declarantului)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F549E0">
      <w:pPr>
        <w:ind w:firstLine="708"/>
        <w:jc w:val="both"/>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bCs/>
          <w:sz w:val="20"/>
          <w:szCs w:val="20"/>
        </w:rPr>
        <w:lastRenderedPageBreak/>
        <w:t>FORMULARUL  2</w:t>
      </w:r>
    </w:p>
    <w:p w14:paraId="1257380B" w14:textId="1FF8AE28" w:rsidR="00B80683" w:rsidRPr="00251B26" w:rsidRDefault="00B80683" w:rsidP="00B80683">
      <w:pPr>
        <w:rPr>
          <w:color w:val="000000"/>
          <w:sz w:val="20"/>
          <w:szCs w:val="20"/>
          <w:lang w:val="sr-Cyrl-CS"/>
        </w:rPr>
      </w:pPr>
    </w:p>
    <w:p w14:paraId="370DB06C" w14:textId="1701AAF4" w:rsidR="00B80683" w:rsidRPr="00251B26" w:rsidRDefault="00B80683" w:rsidP="005D571C">
      <w:pPr>
        <w:ind w:firstLine="708"/>
        <w:jc w:val="both"/>
        <w:rPr>
          <w:color w:val="000000"/>
          <w:sz w:val="20"/>
          <w:szCs w:val="20"/>
        </w:rPr>
      </w:pPr>
      <w:r>
        <w:rPr>
          <w:color w:val="000000"/>
          <w:sz w:val="20"/>
          <w:szCs w:val="20"/>
        </w:rPr>
        <w:t>În baza articolului 103 alineatul 3 din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sz w:val="20"/>
          <w:szCs w:val="20"/>
        </w:rPr>
        <w:t xml:space="preserve">сonsilier pentru activități administrative </w:t>
      </w:r>
      <w:r>
        <w:rPr>
          <w:sz w:val="20"/>
          <w:szCs w:val="20"/>
        </w:rPr>
        <w:t>la Secretariatul Provincial pentru Educație, Reglementări, Administrație și Minoritățile Naționale - Comunitățile Naționale, fac următoarea</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bCs/>
          <w:sz w:val="20"/>
          <w:szCs w:val="20"/>
        </w:rPr>
        <w:t>Declar că pentru nevoile procedurii, singur voi procura</w:t>
      </w:r>
      <w:r>
        <w:rPr>
          <w:sz w:val="20"/>
          <w:szCs w:val="20"/>
        </w:rPr>
        <w:t xml:space="preserve"> și voi remite, până la expirarea termenului de prezentare a cererilor pentru concursul menționat, dovada </w:t>
      </w:r>
      <w:r>
        <w:rPr>
          <w:b/>
          <w:bCs/>
          <w:sz w:val="20"/>
          <w:szCs w:val="20"/>
        </w:rPr>
        <w:t>(a se încercui)</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Dovada de cetățenie</w:t>
      </w:r>
    </w:p>
    <w:p w14:paraId="222BAAB5" w14:textId="77777777" w:rsidR="00DD6BEA" w:rsidRPr="00E25B08" w:rsidRDefault="00DD6BEA" w:rsidP="00DD6BEA">
      <w:pPr>
        <w:pStyle w:val="ListParagraph"/>
        <w:numPr>
          <w:ilvl w:val="0"/>
          <w:numId w:val="9"/>
        </w:numPr>
        <w:rPr>
          <w:sz w:val="20"/>
          <w:szCs w:val="20"/>
        </w:rPr>
      </w:pPr>
      <w:r>
        <w:rPr>
          <w:sz w:val="20"/>
          <w:szCs w:val="20"/>
        </w:rPr>
        <w:t>Dovada că, candidatul nu a fost condamnat la închisoare necondiționată de cel puțin șase luni</w:t>
      </w:r>
    </w:p>
    <w:p w14:paraId="00409AC7" w14:textId="77777777" w:rsidR="00DD6BEA" w:rsidRPr="00DD0569" w:rsidRDefault="00DD6BEA" w:rsidP="00DD6BEA">
      <w:pPr>
        <w:pStyle w:val="ListParagraph"/>
        <w:numPr>
          <w:ilvl w:val="0"/>
          <w:numId w:val="9"/>
        </w:numPr>
        <w:rPr>
          <w:sz w:val="20"/>
          <w:szCs w:val="20"/>
        </w:rPr>
      </w:pPr>
      <w:r>
        <w:rPr>
          <w:sz w:val="20"/>
          <w:szCs w:val="20"/>
        </w:rPr>
        <w:t>Adeverința de promovare a examenului de stat de specialitate</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(locul și data)                             (semnătura declarantului)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F549E0">
      <w:pPr>
        <w:ind w:firstLine="708"/>
        <w:jc w:val="both"/>
        <w:rPr>
          <w:color w:val="000000"/>
          <w:sz w:val="20"/>
          <w:szCs w:val="20"/>
        </w:rPr>
      </w:pPr>
      <w:bookmarkStart w:id="0" w:name="_GoBack"/>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bookmarkEnd w:id="0"/>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134FABA3" w:rsidR="003B47C6" w:rsidRDefault="003B47C6" w:rsidP="00F838EE">
      <w:pPr>
        <w:ind w:firstLine="708"/>
        <w:rPr>
          <w:color w:val="000000"/>
          <w:sz w:val="20"/>
          <w:szCs w:val="20"/>
          <w:lang w:val="sr-Cyrl-CS"/>
        </w:rPr>
      </w:pPr>
    </w:p>
    <w:p w14:paraId="72784ADA" w14:textId="77777777" w:rsidR="004914B5" w:rsidRDefault="004914B5"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lastRenderedPageBreak/>
        <w:t>FORMULARUL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D E C L A R A Ț I E</w:t>
      </w:r>
    </w:p>
    <w:p w14:paraId="4EAD354B" w14:textId="77777777" w:rsidR="00F838EE" w:rsidRPr="00242787" w:rsidRDefault="00F838EE" w:rsidP="00F838EE">
      <w:pPr>
        <w:ind w:firstLine="708"/>
        <w:rPr>
          <w:sz w:val="20"/>
          <w:szCs w:val="20"/>
          <w:lang w:val="sr-Latn-RS"/>
        </w:rPr>
      </w:pPr>
    </w:p>
    <w:p w14:paraId="65E2589C" w14:textId="22EFDF14"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public pentru</w:t>
      </w:r>
      <w:r>
        <w:rPr>
          <w:b/>
          <w:sz w:val="20"/>
          <w:szCs w:val="20"/>
        </w:rPr>
        <w:t xml:space="preserve">сonsilier pentru activități administrative </w:t>
      </w:r>
      <w:r>
        <w:rPr>
          <w:color w:val="000000"/>
          <w:sz w:val="20"/>
          <w:szCs w:val="20"/>
        </w:rPr>
        <w:t>pe care l-a publicat Secretariatul Provincial pentru Educație, Reglementări, Administrație și Minoritățile Naționale - Comunitățile Naționale.</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(locul și data)                             (semnătura declarantului)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14B5"/>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167C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93BCB"/>
    <w:rsid w:val="00CA611C"/>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0F90"/>
    <w:rsid w:val="00EC1317"/>
    <w:rsid w:val="00ED1E7B"/>
    <w:rsid w:val="00EE0551"/>
    <w:rsid w:val="00EE6F03"/>
    <w:rsid w:val="00EF6B0B"/>
    <w:rsid w:val="00F003E9"/>
    <w:rsid w:val="00F021FE"/>
    <w:rsid w:val="00F053C5"/>
    <w:rsid w:val="00F11798"/>
    <w:rsid w:val="00F32779"/>
    <w:rsid w:val="00F40701"/>
    <w:rsid w:val="00F47560"/>
    <w:rsid w:val="00F549E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5BCEEC0C-6CB3-497E-8C91-300B17E6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Vladimir Mitrovic</cp:lastModifiedBy>
  <cp:revision>4</cp:revision>
  <cp:lastPrinted>2023-10-18T07:58:00Z</cp:lastPrinted>
  <dcterms:created xsi:type="dcterms:W3CDTF">2023-10-18T10:22:00Z</dcterms:created>
  <dcterms:modified xsi:type="dcterms:W3CDTF">2023-10-18T11:01:00Z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