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 správy a národnostných menšín – národnostných spoločenstiev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21 000 Nový Sad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4608; F: +381 21 456 217</w:t>
            </w:r>
          </w:p>
          <w:p w:rsidR="000878A8" w:rsidRPr="00C219D4" w:rsidRDefault="001318F1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43656C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43656C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ČÍSLO: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128-90-1017/2023-05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4E0EC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DÁTUM: 26.05.2023.године</w:t>
            </w:r>
          </w:p>
        </w:tc>
      </w:tr>
    </w:tbl>
    <w:p w:rsidR="00540F16" w:rsidRPr="00CF4474" w:rsidRDefault="00540F16" w:rsidP="000878A8">
      <w:pPr>
        <w:rPr>
          <w:rFonts w:asciiTheme="minorHAnsi" w:hAnsiTheme="minorHAnsi" w:cstheme="minorHAnsi"/>
          <w:noProof/>
          <w:lang w:val="sr-Cyrl-CS"/>
        </w:rPr>
      </w:pPr>
    </w:p>
    <w:p w:rsidR="000878A8" w:rsidRPr="002560C9" w:rsidRDefault="00FD4B12" w:rsidP="00D03D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10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(Úradný vestník APV číslo 8/2019) a článku 13 odsek 1 Pravidiel pridelenia rozpočtových prostriedkov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- </w:t>
      </w:r>
      <w:r w:rsidR="001318F1">
        <w:rPr>
          <w:rFonts w:asciiTheme="minorHAnsi" w:hAnsiTheme="minorHAnsi"/>
          <w:bCs/>
          <w:sz w:val="20"/>
          <w:szCs w:val="20"/>
        </w:rPr>
        <w:t>národnostných</w:t>
      </w:r>
      <w:r>
        <w:rPr>
          <w:rFonts w:asciiTheme="minorHAnsi" w:hAnsiTheme="minorHAnsi"/>
          <w:bCs/>
          <w:sz w:val="20"/>
          <w:szCs w:val="20"/>
        </w:rPr>
        <w:t xml:space="preserve"> spoločenstiev na zlepšenie postavenia národnostných menšín - národnostné spoločenstvá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v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Vojvodine (Úradný vestník APV číslo 7/2023), súbehová komisia, ktorá uskutočňuje postup udeľovania finančných prostriedkov podľa verejného súbehu na organizovanie výchovno-rekreačného kempu žiakov stredných škôl na zasadnutí 26. mája 2023 ustálila</w:t>
      </w:r>
    </w:p>
    <w:p w:rsidR="00E07AE0" w:rsidRDefault="00E07AE0">
      <w:pPr>
        <w:rPr>
          <w:rFonts w:asciiTheme="minorHAnsi" w:hAnsiTheme="minorHAnsi" w:cstheme="minorHAnsi"/>
          <w:sz w:val="22"/>
          <w:szCs w:val="22"/>
        </w:rPr>
      </w:pPr>
    </w:p>
    <w:p w:rsidR="00540F16" w:rsidRPr="00AA183F" w:rsidRDefault="00540F16">
      <w:pPr>
        <w:rPr>
          <w:rFonts w:asciiTheme="minorHAnsi" w:hAnsiTheme="minorHAnsi" w:cstheme="minorHAnsi"/>
          <w:sz w:val="22"/>
          <w:szCs w:val="22"/>
        </w:rPr>
      </w:pPr>
    </w:p>
    <w:p w:rsidR="001318F1" w:rsidRDefault="000878A8" w:rsidP="00580B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ZOZNAM HODNOTENÍ A ZORADENÍ PRIHLÁSENÝCH PROGRAMOV </w:t>
      </w:r>
    </w:p>
    <w:p w:rsidR="00580BB6" w:rsidRPr="00580BB6" w:rsidRDefault="000878A8" w:rsidP="00580BB6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 PROJEKTOV NA VEREJNÝ SÚBEH NA ORGANIZÁCIU VÝCHOVNO-REKREAČNÉHO TÁBORA PRE ŽIAKOV STREDNÝCH ŠKÔL</w:t>
      </w:r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540F16" w:rsidRPr="00AA183F" w:rsidRDefault="00540F16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Vyhodnocované, bodované a zoradené prihlášky</w:t>
      </w:r>
    </w:p>
    <w:p w:rsidR="00540F16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2A41BE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Prihlášky, pre ktoré sa navrhuje pridelenie prostriedkov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E74312" w:rsidTr="00945377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Návrh sumy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E74312" w:rsidRPr="00E45D32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</w:t>
            </w:r>
          </w:p>
          <w:p w:rsidR="00E74312" w:rsidRPr="00782027" w:rsidRDefault="00E74312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</w:t>
            </w:r>
          </w:p>
        </w:tc>
      </w:tr>
      <w:tr w:rsidR="00E74312" w:rsidTr="00945377">
        <w:trPr>
          <w:trHeight w:val="834"/>
        </w:trPr>
        <w:tc>
          <w:tcPr>
            <w:tcW w:w="2981" w:type="dxa"/>
            <w:vAlign w:val="center"/>
          </w:tcPr>
          <w:p w:rsidR="00E74312" w:rsidRPr="00580BB6" w:rsidRDefault="00580BB6" w:rsidP="00580BB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Združenie Strediska pre mladých Ana &amp;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Bastian</w:t>
            </w:r>
            <w:proofErr w:type="spellEnd"/>
          </w:p>
        </w:tc>
        <w:tc>
          <w:tcPr>
            <w:tcW w:w="1885" w:type="dxa"/>
            <w:vAlign w:val="center"/>
          </w:tcPr>
          <w:p w:rsidR="00E74312" w:rsidRPr="00782027" w:rsidRDefault="00580BB6" w:rsidP="0078202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459" w:type="dxa"/>
            <w:vAlign w:val="center"/>
          </w:tcPr>
          <w:p w:rsidR="00E74312" w:rsidRPr="00782027" w:rsidRDefault="002A41BE" w:rsidP="0078202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4,500,000.00.</w:t>
            </w:r>
          </w:p>
        </w:tc>
        <w:tc>
          <w:tcPr>
            <w:tcW w:w="2556" w:type="dxa"/>
            <w:vAlign w:val="center"/>
          </w:tcPr>
          <w:p w:rsidR="00E74312" w:rsidRPr="002560C9" w:rsidRDefault="00580BB6" w:rsidP="008C55A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128-90-1017/1. 5. 2023</w:t>
            </w:r>
          </w:p>
        </w:tc>
        <w:tc>
          <w:tcPr>
            <w:tcW w:w="1066" w:type="dxa"/>
            <w:vAlign w:val="center"/>
          </w:tcPr>
          <w:p w:rsidR="00E74312" w:rsidRPr="00782027" w:rsidRDefault="00580BB6" w:rsidP="008A422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5571A" w:rsidRDefault="0035571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A41BE" w:rsidRPr="00AA183F" w:rsidRDefault="002A41BE" w:rsidP="002A41BE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Iné zoradené prihlášky</w:t>
      </w:r>
    </w:p>
    <w:p w:rsidR="002A41BE" w:rsidRPr="00AA183F" w:rsidRDefault="002A41BE" w:rsidP="002A41BE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8D74D2" w:rsidRDefault="002A41BE" w:rsidP="002A41BE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Prihlášky a projekty iných žiadateľov, ktoré nie sú uvedené v bode 1.1. boli hodnotené menej bodmi a neboli navrhnuté na pridelenie finančných prostriedkov.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2A41BE" w:rsidRPr="00AA183F" w:rsidRDefault="002A41BE" w:rsidP="002A41BE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AA183F" w:rsidRDefault="002A41BE" w:rsidP="002A41B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Prihlášky, ktoré nespĺňajú podmienky na hodnotenie, bodovanie a klasifikáciu</w:t>
      </w:r>
    </w:p>
    <w:p w:rsidR="002A41BE" w:rsidRPr="00AA183F" w:rsidRDefault="002A41BE" w:rsidP="002A41B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A41BE" w:rsidRPr="002F472A" w:rsidRDefault="002A41BE" w:rsidP="002A41B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V súlade s článkom 3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prideľovaní rozpočtových prostriedkov na zlepšenie postavenia národnostných menšín–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(Úradný vestník APV č. 8/2019) a článkom 8 Pravidiel rozdeľovania rozpočtových prostriedkov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menšín– národnostných spoločenstiev na zlepšenie </w:t>
      </w:r>
      <w:r>
        <w:rPr>
          <w:rFonts w:asciiTheme="minorHAnsi" w:hAnsiTheme="minorHAnsi"/>
          <w:bCs/>
          <w:sz w:val="20"/>
          <w:szCs w:val="20"/>
        </w:rPr>
        <w:lastRenderedPageBreak/>
        <w:t xml:space="preserve">postavenia národnostných menšín–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v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Vojvodine (Úradný vestník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pokrajiny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Vojvodiny, číslo 7/2023), súbehová komisia zamietla rozhodnutím neúplné alebo nesprávne vyplnené prihlášky, t. j. prihlášky, v ktorých neboli vyplnené všetky povinné polia, ako aj prihlášky, ktoré neboli podpísané a opečiatkované, neaktuálne prihlášky a neprípustné prihlášky (žiadosti podané neoprávnenými osobami a subjektmi neuvedenými v súbehu). Rozhodnutie o zamietnutí sa doručuje žiadateľovi, ktorého žiadosť bola zamietnutá. </w:t>
      </w:r>
    </w:p>
    <w:p w:rsidR="002A41BE" w:rsidRPr="002F472A" w:rsidRDefault="002A41BE" w:rsidP="002A41BE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nebrala do úvahy žiadosti, ktoré nesúvisia s účelmi stanovenými v súbehu podľa článku 10 Pravidiel, prihlášok žiadateľov, ktorí nepredložili správu o vynaložení a použití pridelených finančných prostriedkov za predchádzajúci rok, </w:t>
      </w:r>
      <w:proofErr w:type="spellStart"/>
      <w:r>
        <w:rPr>
          <w:rFonts w:asciiTheme="minorHAnsi" w:hAnsiTheme="minorHAnsi"/>
          <w:sz w:val="20"/>
          <w:szCs w:val="20"/>
        </w:rPr>
        <w:t>t.j</w:t>
      </w:r>
      <w:proofErr w:type="spellEnd"/>
      <w:r>
        <w:rPr>
          <w:rFonts w:asciiTheme="minorHAnsi" w:hAnsiTheme="minorHAnsi"/>
          <w:sz w:val="20"/>
          <w:szCs w:val="20"/>
        </w:rPr>
        <w:t>., u ktorých je z prehľadu zistené, že tieto finančné prostriedky minuli na účel, na ktorý nie sú určené, ako aj žiadosti tých uchádzačov, ktorí si nesplnili svoje povinnosti z predchádzajúcich súbehov sekretariátu, pokiaľ ide o predloženie fotografických alebo video materiálov ako dôkaz o realizovaných aktivitách, prihlášky uchádzačov, ktorí nepredložili popisnú/finančnú správu o realizácii programov/projektov z predchádzajúceho roku v stanovených termínoch, ako aj programy alebo projekty, ktorých implementáciu nie je možné uskutočniť počas bežného rozpočtového roka.</w:t>
      </w:r>
      <w:r>
        <w:rPr>
          <w:rFonts w:asciiTheme="minorHAnsi" w:hAnsiTheme="minorHAnsi"/>
          <w:bCs/>
          <w:sz w:val="20"/>
          <w:szCs w:val="20"/>
        </w:rPr>
        <w:t xml:space="preserve"> O žiadostiach, ktoré nie sú rozoberané, komisia informuje žiadateľa s uvedením dôvodu, prečo žiadosť nie je rozobraná.</w:t>
      </w:r>
    </w:p>
    <w:p w:rsidR="002A41BE" w:rsidRPr="002F472A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Účastníci verejného súbehu majú právo nahliadnuť do podaných prihlášok a pripojenej dokumentácie do troch dní odo dňa zverejnenia tejto listiny a právo namietať do ôsmich dní odo dňa jeho zverejnenia.</w:t>
      </w:r>
    </w:p>
    <w:p w:rsidR="002A41BE" w:rsidRPr="002F472A" w:rsidRDefault="002A41BE" w:rsidP="002A41BE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Námietku je možné podávať doporučene poštou alebo priamo prostredníctvom spisovne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pokrajinských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orgánov správy na adresu: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Pokrajinský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 vzdelávania, predpisov, správy a národnostných menšín – národnostných spoločenstiev, Bulvár </w:t>
      </w:r>
      <w:proofErr w:type="spellStart"/>
      <w:r>
        <w:rPr>
          <w:rFonts w:asciiTheme="minorHAnsi" w:hAnsiTheme="minorHAnsi"/>
          <w:bCs/>
          <w:sz w:val="20"/>
          <w:szCs w:val="20"/>
        </w:rPr>
        <w:t>Mihajla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Pupina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16, Nový Sad s označením: </w:t>
      </w:r>
      <w:r>
        <w:rPr>
          <w:rFonts w:asciiTheme="minorHAnsi" w:hAnsiTheme="minorHAnsi"/>
          <w:sz w:val="20"/>
          <w:szCs w:val="20"/>
        </w:rPr>
        <w:t>Námietka na verejný súbeh na organizáciu výchovno-rekreačného tábora pre žiakov stredných škôl.</w:t>
      </w:r>
    </w:p>
    <w:p w:rsidR="002A41BE" w:rsidRDefault="002A41BE" w:rsidP="002A41B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2A41BE" w:rsidRPr="008D74D2" w:rsidRDefault="002A41BE" w:rsidP="002A41BE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2A41BE" w:rsidRPr="008D74D2" w:rsidTr="004157E7">
        <w:trPr>
          <w:trHeight w:val="2321"/>
        </w:trPr>
        <w:tc>
          <w:tcPr>
            <w:tcW w:w="3666" w:type="dxa"/>
          </w:tcPr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PREDSEDNÍČKA KOMISIE</w:t>
            </w: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Milinka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Chrťanová</w:t>
            </w:r>
            <w:proofErr w:type="spellEnd"/>
          </w:p>
          <w:p w:rsidR="002A41BE" w:rsidRPr="00BF3A52" w:rsidRDefault="002A41BE" w:rsidP="004157E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úradujúca asistentka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pokrajinského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tajomníka vzdelávania, predpisov, správy a národnostných menšín – národnostných spoločenstiev</w:t>
            </w:r>
          </w:p>
        </w:tc>
        <w:tc>
          <w:tcPr>
            <w:tcW w:w="3667" w:type="dxa"/>
          </w:tcPr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1BE" w:rsidRPr="002F472A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Silvia Palfi</w:t>
            </w:r>
          </w:p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samostatná radkyňa pre uskutočňovanie práv národnostných menšín – národnostných spoločenstiev – náčelníčka oddelenia</w:t>
            </w:r>
          </w:p>
        </w:tc>
        <w:tc>
          <w:tcPr>
            <w:tcW w:w="3667" w:type="dxa"/>
          </w:tcPr>
          <w:p w:rsidR="002A41BE" w:rsidRPr="00BF3A52" w:rsidRDefault="002A41BE" w:rsidP="004157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A41BE" w:rsidRPr="00BF3A52" w:rsidRDefault="002A41BE" w:rsidP="004157E7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A41BE" w:rsidRPr="002F472A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Áron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Madarász</w:t>
            </w:r>
            <w:proofErr w:type="spellEnd"/>
          </w:p>
          <w:p w:rsidR="002A41BE" w:rsidRPr="00BF3A52" w:rsidRDefault="002A41BE" w:rsidP="004157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radca pre výchovu a vzdelávanie a žiacky štandard</w:t>
            </w:r>
          </w:p>
        </w:tc>
      </w:tr>
    </w:tbl>
    <w:p w:rsidR="00D03DE0" w:rsidRPr="008D74D2" w:rsidRDefault="00D03DE0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C302E" w:rsidRPr="008D74D2" w:rsidRDefault="00FC302E" w:rsidP="0009765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sectPr w:rsidR="00FC302E" w:rsidRPr="008D74D2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028E8"/>
    <w:rsid w:val="000231F4"/>
    <w:rsid w:val="000878A8"/>
    <w:rsid w:val="0009765B"/>
    <w:rsid w:val="000E15D5"/>
    <w:rsid w:val="000F25FE"/>
    <w:rsid w:val="00103CCF"/>
    <w:rsid w:val="00110648"/>
    <w:rsid w:val="001209F4"/>
    <w:rsid w:val="001318F1"/>
    <w:rsid w:val="00152474"/>
    <w:rsid w:val="0016421F"/>
    <w:rsid w:val="0018199B"/>
    <w:rsid w:val="0022597C"/>
    <w:rsid w:val="002560C9"/>
    <w:rsid w:val="0026276A"/>
    <w:rsid w:val="002A1978"/>
    <w:rsid w:val="002A41BE"/>
    <w:rsid w:val="00303792"/>
    <w:rsid w:val="00336399"/>
    <w:rsid w:val="0035571A"/>
    <w:rsid w:val="003B3A13"/>
    <w:rsid w:val="003B564A"/>
    <w:rsid w:val="003D548C"/>
    <w:rsid w:val="0043140C"/>
    <w:rsid w:val="0043656C"/>
    <w:rsid w:val="004B1E3D"/>
    <w:rsid w:val="004E0EC9"/>
    <w:rsid w:val="004F21DA"/>
    <w:rsid w:val="00540F16"/>
    <w:rsid w:val="00543A49"/>
    <w:rsid w:val="005750C7"/>
    <w:rsid w:val="00580BB6"/>
    <w:rsid w:val="005F1CBF"/>
    <w:rsid w:val="00600F34"/>
    <w:rsid w:val="00630B0A"/>
    <w:rsid w:val="00660856"/>
    <w:rsid w:val="006623CC"/>
    <w:rsid w:val="00693820"/>
    <w:rsid w:val="00697AC2"/>
    <w:rsid w:val="00782027"/>
    <w:rsid w:val="007967E7"/>
    <w:rsid w:val="007A4765"/>
    <w:rsid w:val="008456C2"/>
    <w:rsid w:val="008A422D"/>
    <w:rsid w:val="008C55AD"/>
    <w:rsid w:val="008C79CA"/>
    <w:rsid w:val="008D74D2"/>
    <w:rsid w:val="00945377"/>
    <w:rsid w:val="00A050B3"/>
    <w:rsid w:val="00A70680"/>
    <w:rsid w:val="00A80C4E"/>
    <w:rsid w:val="00AA183F"/>
    <w:rsid w:val="00AA7741"/>
    <w:rsid w:val="00B14B37"/>
    <w:rsid w:val="00B73311"/>
    <w:rsid w:val="00B94C72"/>
    <w:rsid w:val="00BB40DF"/>
    <w:rsid w:val="00BF3A52"/>
    <w:rsid w:val="00C219D4"/>
    <w:rsid w:val="00C54B5D"/>
    <w:rsid w:val="00C73230"/>
    <w:rsid w:val="00C73825"/>
    <w:rsid w:val="00CB06B5"/>
    <w:rsid w:val="00CF4474"/>
    <w:rsid w:val="00D03DE0"/>
    <w:rsid w:val="00D05120"/>
    <w:rsid w:val="00D06D04"/>
    <w:rsid w:val="00D36EE2"/>
    <w:rsid w:val="00DF04E2"/>
    <w:rsid w:val="00E07AE0"/>
    <w:rsid w:val="00E14AF1"/>
    <w:rsid w:val="00E45D32"/>
    <w:rsid w:val="00E74312"/>
    <w:rsid w:val="00FC302E"/>
    <w:rsid w:val="00FD4B12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E4AA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6372-965E-4BFA-8540-9D25DE25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Zdenka Valent</cp:lastModifiedBy>
  <cp:revision>3</cp:revision>
  <cp:lastPrinted>2023-05-24T13:01:00Z</cp:lastPrinted>
  <dcterms:created xsi:type="dcterms:W3CDTF">2023-05-24T13:16:00Z</dcterms:created>
  <dcterms:modified xsi:type="dcterms:W3CDTF">2023-05-24T13:45:00Z</dcterms:modified>
</cp:coreProperties>
</file>