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113877" w:rsidTr="001E0F0E">
        <w:trPr>
          <w:trHeight w:val="1975"/>
        </w:trPr>
        <w:tc>
          <w:tcPr>
            <w:tcW w:w="2410" w:type="dxa"/>
          </w:tcPr>
          <w:p w:rsidR="00BE61DE" w:rsidRPr="00113877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  <w:r w:rsidRPr="00113877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113877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</w:p>
          <w:p w:rsidR="00BE61DE" w:rsidRPr="00113877" w:rsidRDefault="00113877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Republika Srbija</w:t>
            </w:r>
          </w:p>
          <w:p w:rsidR="00BE61DE" w:rsidRPr="00113877" w:rsidRDefault="00113877" w:rsidP="006A0F02">
            <w:pPr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Autonomna Pokrajina Vojvodina</w:t>
            </w:r>
          </w:p>
          <w:p w:rsidR="00BE61DE" w:rsidRPr="00113877" w:rsidRDefault="00113877" w:rsidP="006A0F02">
            <w:pPr>
              <w:rPr>
                <w:rFonts w:asciiTheme="minorHAnsi" w:eastAsia="Calibr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upravu i nacionalne manjine – nacionalne zajednice</w:t>
            </w:r>
          </w:p>
          <w:p w:rsidR="00BE61DE" w:rsidRPr="00113877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</w:p>
          <w:p w:rsidR="00BE61DE" w:rsidRPr="00113877" w:rsidRDefault="00113877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Bulevar Mihajla Pupina 16, 21000 Novi Sad</w:t>
            </w:r>
          </w:p>
          <w:p w:rsidR="00BE61DE" w:rsidRPr="00113877" w:rsidRDefault="00113877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113877" w:rsidRDefault="00CB23BA" w:rsidP="00791F4B">
            <w:pPr>
              <w:spacing w:after="200"/>
              <w:rPr>
                <w:rFonts w:eastAsia="Calibri"/>
                <w:sz w:val="16"/>
                <w:szCs w:val="16"/>
              </w:rPr>
            </w:pPr>
            <w:hyperlink r:id="rId7" w:history="1">
              <w:r w:rsidR="00113877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ounz@vojvodina.gov.rs</w:t>
              </w:r>
            </w:hyperlink>
            <w:r w:rsidR="00113877">
              <w:rPr>
                <w:sz w:val="20"/>
                <w:szCs w:val="16"/>
              </w:rPr>
              <w:t xml:space="preserve">  </w:t>
            </w:r>
          </w:p>
        </w:tc>
      </w:tr>
      <w:tr w:rsidR="00BE61DE" w:rsidRPr="00113877" w:rsidTr="001E0F0E">
        <w:trPr>
          <w:trHeight w:val="305"/>
        </w:trPr>
        <w:tc>
          <w:tcPr>
            <w:tcW w:w="2410" w:type="dxa"/>
          </w:tcPr>
          <w:p w:rsidR="00BE61DE" w:rsidRPr="00113877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3" w:type="dxa"/>
          </w:tcPr>
          <w:p w:rsidR="00BE61DE" w:rsidRPr="00113877" w:rsidRDefault="00113877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KLASA: 128-90-1017/2023-05</w:t>
            </w:r>
          </w:p>
          <w:p w:rsidR="001B481F" w:rsidRPr="00113877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</w:p>
        </w:tc>
        <w:tc>
          <w:tcPr>
            <w:tcW w:w="4172" w:type="dxa"/>
          </w:tcPr>
          <w:p w:rsidR="00BE61DE" w:rsidRPr="00113877" w:rsidRDefault="00F46EFB" w:rsidP="00B875F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DATUM: 5. </w:t>
            </w:r>
            <w:r w:rsidR="00113877">
              <w:rPr>
                <w:rFonts w:asciiTheme="minorHAnsi" w:hAnsiTheme="minorHAnsi"/>
                <w:sz w:val="18"/>
                <w:szCs w:val="16"/>
              </w:rPr>
              <w:t>6.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="00113877">
              <w:rPr>
                <w:rFonts w:asciiTheme="minorHAnsi" w:hAnsiTheme="minorHAnsi"/>
                <w:sz w:val="18"/>
                <w:szCs w:val="16"/>
              </w:rPr>
              <w:t>2023.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="00113877">
              <w:rPr>
                <w:rFonts w:asciiTheme="minorHAnsi" w:hAnsiTheme="minorHAnsi"/>
                <w:sz w:val="18"/>
                <w:szCs w:val="16"/>
              </w:rPr>
              <w:t>godine</w:t>
            </w:r>
          </w:p>
        </w:tc>
      </w:tr>
    </w:tbl>
    <w:p w:rsidR="00BB265B" w:rsidRPr="00F46EFB" w:rsidRDefault="00113877" w:rsidP="00BB265B">
      <w:pPr>
        <w:ind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EFB">
        <w:rPr>
          <w:rFonts w:asciiTheme="minorHAnsi" w:hAnsiTheme="minorHAnsi"/>
          <w:bCs/>
          <w:sz w:val="22"/>
          <w:szCs w:val="22"/>
        </w:rPr>
        <w:t xml:space="preserve">Na temelju članka 11. Pokrajinske skupštinske odluke o dodjeli proračunskih sredstava za unapređenje položaja nacionalnih manjina – nacionalnih zajednica i razvoj multikulturalizma i tolerancije („Sl. list APV“, broj: 8/2019), članaka 15. i 16. stavka 5. u vezi s člankom 24. stavkom 2. i člankom 37. stavkom 5. Pokrajinske skupštinske odluke o pokrajinskoj upravi („Službeni list APV“, broj: 37/14, 54/14 </w:t>
      </w:r>
      <w:r w:rsidR="00F46EFB">
        <w:rPr>
          <w:rFonts w:asciiTheme="minorHAnsi" w:hAnsiTheme="minorHAnsi"/>
          <w:bCs/>
          <w:sz w:val="22"/>
          <w:szCs w:val="22"/>
        </w:rPr>
        <w:t>–</w:t>
      </w:r>
      <w:r w:rsidRPr="00F46EFB">
        <w:rPr>
          <w:rFonts w:asciiTheme="minorHAnsi" w:hAnsiTheme="minorHAnsi"/>
          <w:bCs/>
          <w:sz w:val="22"/>
          <w:szCs w:val="22"/>
        </w:rPr>
        <w:t xml:space="preserve"> d</w:t>
      </w:r>
      <w:r w:rsidR="00F46EFB">
        <w:rPr>
          <w:rFonts w:asciiTheme="minorHAnsi" w:hAnsiTheme="minorHAnsi"/>
          <w:bCs/>
          <w:sz w:val="22"/>
          <w:szCs w:val="22"/>
        </w:rPr>
        <w:t xml:space="preserve">r. odluka, </w:t>
      </w:r>
      <w:r w:rsidRPr="00F46EFB">
        <w:rPr>
          <w:rFonts w:asciiTheme="minorHAnsi" w:hAnsiTheme="minorHAnsi"/>
          <w:bCs/>
          <w:sz w:val="22"/>
          <w:szCs w:val="22"/>
        </w:rPr>
        <w:t>37/2016, 29/2017, 24/2019, 66/2020 i 38/2021) i članka 13. stavka 6. Pravilnika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 („Službeni list APV“, broj: 7/23)</w:t>
      </w:r>
      <w:r w:rsidR="00F46EFB">
        <w:rPr>
          <w:rFonts w:asciiTheme="minorHAnsi" w:hAnsiTheme="minorHAnsi"/>
          <w:bCs/>
          <w:sz w:val="22"/>
          <w:szCs w:val="22"/>
        </w:rPr>
        <w:t xml:space="preserve"> </w:t>
      </w:r>
      <w:r w:rsidRPr="00F46EFB">
        <w:rPr>
          <w:rFonts w:asciiTheme="minorHAnsi" w:hAnsiTheme="minorHAnsi"/>
          <w:bCs/>
          <w:sz w:val="22"/>
          <w:szCs w:val="22"/>
        </w:rPr>
        <w:t>(u daljnjem tekstu: Pravilnik), kao i Liste vrednovanja natječajnog povjerenstva za dodjelu proračunskih sredstava po Javnom natječaju za organizaciju edukativno-rekreacijskog kampa učenika srednjih škola, klasa: 128-90-1017/2023-05 od 26. svibnja 2023. godine, pokrajinski tajnik donosi:</w:t>
      </w:r>
    </w:p>
    <w:p w:rsidR="001B481F" w:rsidRPr="00F46EFB" w:rsidRDefault="001B481F" w:rsidP="002B5C59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6396F" w:rsidRPr="00F46EFB" w:rsidRDefault="00113877" w:rsidP="0056396F">
      <w:pPr>
        <w:jc w:val="center"/>
        <w:rPr>
          <w:rFonts w:asciiTheme="minorHAnsi" w:hAnsiTheme="minorHAnsi"/>
          <w:b/>
          <w:sz w:val="22"/>
          <w:szCs w:val="22"/>
        </w:rPr>
      </w:pPr>
      <w:r w:rsidRPr="00F46EFB">
        <w:rPr>
          <w:rFonts w:asciiTheme="minorHAnsi" w:hAnsiTheme="minorHAnsi"/>
          <w:b/>
          <w:sz w:val="22"/>
          <w:szCs w:val="22"/>
        </w:rPr>
        <w:t>RJEŠENJE</w:t>
      </w:r>
    </w:p>
    <w:p w:rsidR="00F46EFB" w:rsidRDefault="00113877" w:rsidP="00B875F7">
      <w:pPr>
        <w:jc w:val="center"/>
        <w:rPr>
          <w:rFonts w:asciiTheme="minorHAnsi" w:hAnsiTheme="minorHAnsi"/>
          <w:b/>
          <w:sz w:val="22"/>
          <w:szCs w:val="22"/>
        </w:rPr>
      </w:pPr>
      <w:r w:rsidRPr="00F46EFB">
        <w:rPr>
          <w:rFonts w:asciiTheme="minorHAnsi" w:hAnsiTheme="minorHAnsi"/>
          <w:b/>
          <w:sz w:val="22"/>
          <w:szCs w:val="22"/>
        </w:rPr>
        <w:t xml:space="preserve">O DODJELI PRORAČUNSKIH SREDSTAVA PO JAVNOM NATJEČAJU </w:t>
      </w:r>
    </w:p>
    <w:p w:rsidR="00517438" w:rsidRPr="00F46EFB" w:rsidRDefault="00113877" w:rsidP="00B875F7">
      <w:pPr>
        <w:jc w:val="center"/>
        <w:rPr>
          <w:rFonts w:asciiTheme="minorHAnsi" w:hAnsiTheme="minorHAnsi"/>
          <w:b/>
          <w:sz w:val="22"/>
          <w:szCs w:val="22"/>
        </w:rPr>
      </w:pPr>
      <w:r w:rsidRPr="00F46EFB">
        <w:rPr>
          <w:rFonts w:asciiTheme="minorHAnsi" w:hAnsiTheme="minorHAnsi"/>
          <w:b/>
          <w:sz w:val="22"/>
          <w:szCs w:val="22"/>
        </w:rPr>
        <w:t xml:space="preserve">ZA </w:t>
      </w:r>
      <w:r w:rsidRPr="00F46EFB">
        <w:rPr>
          <w:rFonts w:ascii="Calibri" w:hAnsi="Calibri"/>
          <w:b/>
          <w:bCs/>
          <w:caps/>
          <w:color w:val="000000"/>
          <w:sz w:val="22"/>
          <w:szCs w:val="22"/>
        </w:rPr>
        <w:t>organizaciju edukativno-rekreacijskog kampa učenika srednjih škola</w:t>
      </w:r>
    </w:p>
    <w:p w:rsidR="001B481F" w:rsidRPr="00F46EFB" w:rsidRDefault="001B481F" w:rsidP="00517438">
      <w:pPr>
        <w:jc w:val="center"/>
        <w:rPr>
          <w:rFonts w:asciiTheme="minorHAnsi" w:hAnsiTheme="minorHAnsi"/>
          <w:sz w:val="22"/>
          <w:szCs w:val="22"/>
        </w:rPr>
      </w:pPr>
    </w:p>
    <w:p w:rsidR="00E62E02" w:rsidRPr="00F46EFB" w:rsidRDefault="00F23D64" w:rsidP="0056396F">
      <w:pPr>
        <w:jc w:val="center"/>
        <w:rPr>
          <w:rFonts w:asciiTheme="minorHAnsi" w:hAnsiTheme="minorHAnsi"/>
          <w:b/>
          <w:sz w:val="22"/>
          <w:szCs w:val="22"/>
        </w:rPr>
      </w:pPr>
      <w:r w:rsidRPr="00F46EFB">
        <w:rPr>
          <w:rFonts w:asciiTheme="minorHAnsi" w:hAnsiTheme="minorHAnsi"/>
          <w:b/>
          <w:sz w:val="22"/>
          <w:szCs w:val="22"/>
        </w:rPr>
        <w:t>I.</w:t>
      </w:r>
    </w:p>
    <w:p w:rsidR="002036F0" w:rsidRPr="00F46EFB" w:rsidRDefault="002036F0" w:rsidP="0056396F">
      <w:pPr>
        <w:jc w:val="center"/>
        <w:rPr>
          <w:rFonts w:asciiTheme="minorHAnsi" w:hAnsiTheme="minorHAnsi"/>
          <w:sz w:val="22"/>
          <w:szCs w:val="22"/>
        </w:rPr>
      </w:pPr>
    </w:p>
    <w:p w:rsidR="00E0051A" w:rsidRPr="00F46EFB" w:rsidRDefault="00113877" w:rsidP="00517438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</w:rPr>
      </w:pPr>
      <w:r w:rsidRPr="00F46EFB">
        <w:rPr>
          <w:rFonts w:asciiTheme="minorHAnsi" w:hAnsiTheme="minorHAnsi"/>
          <w:bCs/>
          <w:sz w:val="22"/>
          <w:szCs w:val="22"/>
        </w:rPr>
        <w:t>Na temelju Javnog natječaja za organizaciju edukativno-rekreacijskog kampa učenika srednjih škola, raspisanog dana 5. 5. 2023. godine, klasa: 128-90-1017/2023-05, koji je objavljen na mrežnoj stranici Tajništva 5. 5. 2023.godine i u „Službenom listu APV“, broj: 19/2023, sredstva se dodjeljuju podnositelju prijave:</w:t>
      </w:r>
    </w:p>
    <w:p w:rsidR="00FB4383" w:rsidRPr="00F46EFB" w:rsidRDefault="00FB4383" w:rsidP="002B5C5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875F7" w:rsidRPr="00F46EFB" w:rsidTr="00F46EFB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875F7" w:rsidRPr="00F46EFB" w:rsidRDefault="00113877" w:rsidP="00F46EF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46EFB">
              <w:rPr>
                <w:rFonts w:ascii="Calibri" w:hAnsi="Calibri"/>
                <w:b/>
                <w:bCs/>
                <w:sz w:val="22"/>
                <w:szCs w:val="22"/>
              </w:rPr>
              <w:t>Podnositelj prijave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875F7" w:rsidRPr="00F46EFB" w:rsidRDefault="00113877" w:rsidP="00F46EF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46EFB">
              <w:rPr>
                <w:rFonts w:ascii="Calibri" w:hAnsi="Calibri"/>
                <w:b/>
                <w:bCs/>
                <w:sz w:val="22"/>
                <w:szCs w:val="22"/>
              </w:rPr>
              <w:t>Naseljeno mjesto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875F7" w:rsidRPr="00F46EFB" w:rsidRDefault="00113877" w:rsidP="00F46EF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46EFB">
              <w:rPr>
                <w:rFonts w:ascii="Calibri" w:hAnsi="Calibri"/>
                <w:b/>
                <w:bCs/>
                <w:sz w:val="22"/>
                <w:szCs w:val="22"/>
              </w:rPr>
              <w:t>Prijedlog iznosa za dodjelu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875F7" w:rsidRPr="00F46EFB" w:rsidRDefault="00113877" w:rsidP="00F46EF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46EFB">
              <w:rPr>
                <w:rFonts w:ascii="Calibri" w:hAnsi="Calibri"/>
                <w:b/>
                <w:bCs/>
                <w:sz w:val="22"/>
                <w:szCs w:val="22"/>
              </w:rPr>
              <w:t>Klasa predmeta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875F7" w:rsidRPr="00F46EFB" w:rsidRDefault="00113877" w:rsidP="0025674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46EFB">
              <w:rPr>
                <w:rFonts w:ascii="Calibri" w:hAnsi="Calibri"/>
                <w:b/>
                <w:bCs/>
                <w:sz w:val="22"/>
                <w:szCs w:val="22"/>
              </w:rPr>
              <w:t>Broj</w:t>
            </w:r>
          </w:p>
          <w:p w:rsidR="00B875F7" w:rsidRPr="00F46EFB" w:rsidRDefault="00113877" w:rsidP="0025674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46EFB">
              <w:rPr>
                <w:rFonts w:ascii="Calibri" w:hAnsi="Calibri"/>
                <w:b/>
                <w:bCs/>
                <w:sz w:val="22"/>
                <w:szCs w:val="22"/>
              </w:rPr>
              <w:t>bodova</w:t>
            </w:r>
          </w:p>
        </w:tc>
      </w:tr>
      <w:tr w:rsidR="00B875F7" w:rsidRPr="00F46EFB" w:rsidTr="0025674D">
        <w:trPr>
          <w:trHeight w:val="834"/>
        </w:trPr>
        <w:tc>
          <w:tcPr>
            <w:tcW w:w="2981" w:type="dxa"/>
            <w:vAlign w:val="center"/>
          </w:tcPr>
          <w:p w:rsidR="00B875F7" w:rsidRPr="00F46EFB" w:rsidRDefault="00113877" w:rsidP="00256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46EFB">
              <w:rPr>
                <w:rFonts w:asciiTheme="minorHAnsi" w:hAnsiTheme="minorHAnsi"/>
                <w:sz w:val="22"/>
                <w:szCs w:val="22"/>
              </w:rPr>
              <w:t xml:space="preserve">Udruga Centar za mlade „Ana &amp; </w:t>
            </w:r>
            <w:proofErr w:type="spellStart"/>
            <w:r w:rsidRPr="00F46EFB">
              <w:rPr>
                <w:rFonts w:asciiTheme="minorHAnsi" w:hAnsiTheme="minorHAnsi"/>
                <w:sz w:val="22"/>
                <w:szCs w:val="22"/>
              </w:rPr>
              <w:t>Bastian</w:t>
            </w:r>
            <w:proofErr w:type="spellEnd"/>
            <w:r w:rsidRPr="00F46EFB">
              <w:rPr>
                <w:rFonts w:asciiTheme="minorHAnsi" w:hAnsiTheme="minorHAnsi"/>
                <w:sz w:val="22"/>
                <w:szCs w:val="22"/>
              </w:rPr>
              <w:t>“</w:t>
            </w:r>
          </w:p>
        </w:tc>
        <w:tc>
          <w:tcPr>
            <w:tcW w:w="1885" w:type="dxa"/>
            <w:vAlign w:val="center"/>
          </w:tcPr>
          <w:p w:rsidR="00B875F7" w:rsidRPr="00F46EFB" w:rsidRDefault="00113877" w:rsidP="0025674D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46EFB">
              <w:rPr>
                <w:rFonts w:asciiTheme="minorHAnsi" w:hAnsiTheme="minorHAnsi"/>
                <w:sz w:val="22"/>
                <w:szCs w:val="22"/>
              </w:rPr>
              <w:t>Kanjiža</w:t>
            </w:r>
            <w:proofErr w:type="spellEnd"/>
          </w:p>
        </w:tc>
        <w:tc>
          <w:tcPr>
            <w:tcW w:w="1459" w:type="dxa"/>
            <w:vAlign w:val="center"/>
          </w:tcPr>
          <w:p w:rsidR="00B875F7" w:rsidRPr="00F46EFB" w:rsidRDefault="00B875F7" w:rsidP="0025674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46EFB">
              <w:rPr>
                <w:rFonts w:asciiTheme="minorHAnsi" w:hAnsiTheme="minorHAnsi"/>
                <w:sz w:val="22"/>
                <w:szCs w:val="22"/>
              </w:rPr>
              <w:t>4.500.000,00</w:t>
            </w:r>
          </w:p>
        </w:tc>
        <w:tc>
          <w:tcPr>
            <w:tcW w:w="2556" w:type="dxa"/>
            <w:vAlign w:val="center"/>
          </w:tcPr>
          <w:p w:rsidR="00B875F7" w:rsidRPr="00F46EFB" w:rsidRDefault="00B875F7" w:rsidP="00256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46EFB">
              <w:rPr>
                <w:rFonts w:asciiTheme="minorHAnsi" w:hAnsiTheme="minorHAnsi"/>
                <w:sz w:val="22"/>
                <w:szCs w:val="22"/>
              </w:rPr>
              <w:t>128-90-1017/1.5.2023.</w:t>
            </w:r>
          </w:p>
        </w:tc>
        <w:tc>
          <w:tcPr>
            <w:tcW w:w="1066" w:type="dxa"/>
            <w:vAlign w:val="center"/>
          </w:tcPr>
          <w:p w:rsidR="00B875F7" w:rsidRPr="00F46EFB" w:rsidRDefault="00B875F7" w:rsidP="00256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46EFB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</w:tr>
    </w:tbl>
    <w:p w:rsidR="00B875F7" w:rsidRPr="00F46EFB" w:rsidRDefault="00B875F7" w:rsidP="002B5C59">
      <w:pPr>
        <w:rPr>
          <w:rFonts w:asciiTheme="minorHAnsi" w:hAnsiTheme="minorHAnsi"/>
          <w:b/>
          <w:sz w:val="22"/>
          <w:szCs w:val="22"/>
        </w:rPr>
      </w:pPr>
    </w:p>
    <w:p w:rsidR="002737C2" w:rsidRPr="00F46EFB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EFB">
        <w:rPr>
          <w:rFonts w:asciiTheme="minorHAnsi" w:hAnsiTheme="minorHAnsi"/>
          <w:b/>
          <w:sz w:val="22"/>
          <w:szCs w:val="22"/>
        </w:rPr>
        <w:t>II.</w:t>
      </w:r>
    </w:p>
    <w:p w:rsidR="002737C2" w:rsidRPr="00F46EFB" w:rsidRDefault="00113877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46EFB">
        <w:rPr>
          <w:rFonts w:asciiTheme="minorHAnsi" w:hAnsiTheme="minorHAnsi"/>
          <w:sz w:val="22"/>
          <w:szCs w:val="22"/>
        </w:rPr>
        <w:t>Podnositeljima prijave na Natječaj koji nisu navedeni u točki 1. ovog rješenja ne dodjeljuju se proračunska sredstva imajući u vidu članak 8. i članak 12. Pravilnika.</w:t>
      </w:r>
    </w:p>
    <w:p w:rsidR="002737C2" w:rsidRPr="00F46EFB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EFB">
        <w:rPr>
          <w:rFonts w:asciiTheme="minorHAnsi" w:hAnsiTheme="minorHAnsi"/>
          <w:b/>
          <w:sz w:val="22"/>
          <w:szCs w:val="22"/>
        </w:rPr>
        <w:t>III.</w:t>
      </w:r>
    </w:p>
    <w:p w:rsidR="002737C2" w:rsidRPr="00F46EFB" w:rsidRDefault="00113877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6EFB">
        <w:rPr>
          <w:rFonts w:asciiTheme="minorHAnsi" w:hAnsiTheme="minorHAnsi"/>
          <w:sz w:val="22"/>
          <w:szCs w:val="22"/>
        </w:rPr>
        <w:t>Ovo rješenje o izboru programa/projekata objavljuje se na službenoj mrežnoj stranici Pokrajinskog tajništva.</w:t>
      </w:r>
    </w:p>
    <w:p w:rsidR="00707AD1" w:rsidRDefault="00707AD1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46EFB" w:rsidRPr="00F46EFB" w:rsidRDefault="00F46EFB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737C2" w:rsidRPr="00F46EFB" w:rsidRDefault="00113877" w:rsidP="002737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EFB">
        <w:rPr>
          <w:rFonts w:asciiTheme="minorHAnsi" w:hAnsiTheme="minorHAnsi"/>
          <w:b/>
          <w:sz w:val="22"/>
          <w:szCs w:val="22"/>
        </w:rPr>
        <w:lastRenderedPageBreak/>
        <w:t>Obrazloženje</w:t>
      </w:r>
    </w:p>
    <w:p w:rsidR="002737C2" w:rsidRPr="00F46EFB" w:rsidRDefault="002737C2" w:rsidP="002737C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737C2" w:rsidRDefault="00113877" w:rsidP="002737C2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F46EFB">
        <w:rPr>
          <w:rFonts w:asciiTheme="minorHAnsi" w:hAnsiTheme="minorHAnsi"/>
          <w:bCs/>
          <w:sz w:val="22"/>
          <w:szCs w:val="22"/>
        </w:rPr>
        <w:t>Na temelju članka 11.</w:t>
      </w:r>
      <w:r w:rsidR="00F46EFB">
        <w:rPr>
          <w:rFonts w:asciiTheme="minorHAnsi" w:hAnsiTheme="minorHAnsi"/>
          <w:bCs/>
          <w:sz w:val="22"/>
          <w:szCs w:val="22"/>
        </w:rPr>
        <w:t>, a</w:t>
      </w:r>
      <w:r w:rsidRPr="00F46EFB">
        <w:rPr>
          <w:rFonts w:asciiTheme="minorHAnsi" w:hAnsiTheme="minorHAnsi"/>
          <w:bCs/>
          <w:sz w:val="22"/>
          <w:szCs w:val="22"/>
        </w:rPr>
        <w:t xml:space="preserve"> u vezi s člancima 23</w:t>
      </w:r>
      <w:r w:rsidR="00F46EFB">
        <w:rPr>
          <w:rFonts w:asciiTheme="minorHAnsi" w:hAnsiTheme="minorHAnsi"/>
          <w:bCs/>
          <w:sz w:val="22"/>
          <w:szCs w:val="22"/>
        </w:rPr>
        <w:t>.</w:t>
      </w:r>
      <w:r w:rsidRPr="00F46EFB">
        <w:rPr>
          <w:rFonts w:asciiTheme="minorHAnsi" w:hAnsiTheme="minorHAnsi"/>
          <w:bCs/>
          <w:sz w:val="22"/>
          <w:szCs w:val="22"/>
        </w:rPr>
        <w:t xml:space="preserve">, 25. i 26. Pokrajinske skupštinske odluke o proračunu Autonomne Pokrajine Vojvodine za 2023. godinu („Sl. list APV“, broj: 54/2022), članka 7. </w:t>
      </w:r>
      <w:r w:rsidRPr="00F46EFB">
        <w:rPr>
          <w:rFonts w:asciiTheme="minorHAnsi" w:hAnsiTheme="minorHAnsi"/>
          <w:sz w:val="22"/>
          <w:szCs w:val="22"/>
        </w:rPr>
        <w:t>Pokrajinske skupštinske odluke o dodjeli proračunskih sredstava za unapređenje položaja nacionalnih manjina – nacionalnih zajednica i razvoj multikulturalizma i tolerancije („Sl. l</w:t>
      </w:r>
      <w:r w:rsidR="00F46EFB">
        <w:rPr>
          <w:rFonts w:asciiTheme="minorHAnsi" w:hAnsiTheme="minorHAnsi"/>
          <w:sz w:val="22"/>
          <w:szCs w:val="22"/>
        </w:rPr>
        <w:t xml:space="preserve">ist APV“, broj: 8/2019), članka </w:t>
      </w:r>
      <w:r w:rsidRPr="00F46EFB">
        <w:rPr>
          <w:rFonts w:asciiTheme="minorHAnsi" w:hAnsiTheme="minorHAnsi"/>
          <w:sz w:val="22"/>
          <w:szCs w:val="22"/>
        </w:rPr>
        <w:t>6. Uredbe o sredstvima za poticanje programa ili nedostajućeg dijela sredstava za financiranje programa od javnog interesa koje realiziraju udruge („Sl. glasnik RS“, broj: 16/2018) i članka 3. stavka 1. Pravilnika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 („Sl.</w:t>
      </w:r>
      <w:r w:rsidR="00F46EFB">
        <w:rPr>
          <w:rFonts w:asciiTheme="minorHAnsi" w:hAnsiTheme="minorHAnsi"/>
          <w:sz w:val="22"/>
          <w:szCs w:val="22"/>
        </w:rPr>
        <w:t xml:space="preserve"> </w:t>
      </w:r>
      <w:r w:rsidRPr="00F46EFB">
        <w:rPr>
          <w:rFonts w:asciiTheme="minorHAnsi" w:hAnsiTheme="minorHAnsi"/>
          <w:sz w:val="22"/>
          <w:szCs w:val="22"/>
        </w:rPr>
        <w:t>list APV“, broj: 7/2023),</w:t>
      </w:r>
      <w:r w:rsidRPr="00F46EFB">
        <w:rPr>
          <w:rFonts w:asciiTheme="minorHAnsi" w:hAnsiTheme="minorHAnsi"/>
          <w:bCs/>
          <w:sz w:val="22"/>
          <w:szCs w:val="22"/>
        </w:rPr>
        <w:t xml:space="preserve"> Pokrajinsko tajništvo za obrazovanje, propise, upravu i nacionalne manjine – nacionalne zajednice je dana 5. 5. 2023. godine raspisalo Javni natječaj za organizaciju edukativno-rekreacijskog kampa učenika srednjih škola, klasa: 128-90-1017/2023-05.</w:t>
      </w:r>
    </w:p>
    <w:p w:rsidR="00F46EFB" w:rsidRPr="00F46EFB" w:rsidRDefault="00F46EFB" w:rsidP="002737C2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737C2" w:rsidRDefault="00113877" w:rsidP="002737C2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F46EFB">
        <w:rPr>
          <w:rFonts w:asciiTheme="minorHAnsi" w:hAnsiTheme="minorHAnsi"/>
          <w:bCs/>
          <w:sz w:val="22"/>
          <w:szCs w:val="22"/>
        </w:rPr>
        <w:t xml:space="preserve">Pokrajinskom skupštinskom odlukom o dodjeli proračunskih sredstava za unapređenje položaja nacionalnih manjina – nacionalnih zajednica i razvoj multikulturalizma i tolerancije („Sl.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 </w:t>
      </w:r>
    </w:p>
    <w:p w:rsidR="00F46EFB" w:rsidRPr="00F46EFB" w:rsidRDefault="00F46EFB" w:rsidP="002737C2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737C2" w:rsidRDefault="00113877" w:rsidP="002737C2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F46EFB"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F46EFB" w:rsidRPr="00F46EFB" w:rsidRDefault="00F46EFB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737C2" w:rsidRDefault="00113877" w:rsidP="002737C2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F46EFB">
        <w:rPr>
          <w:rFonts w:asciiTheme="minorHAnsi" w:hAnsiTheme="minorHAnsi"/>
          <w:sz w:val="22"/>
          <w:szCs w:val="22"/>
        </w:rPr>
        <w:t>Na temelju Natječaja provedenog sukladno člancima 23</w:t>
      </w:r>
      <w:r w:rsidR="00F46EFB">
        <w:rPr>
          <w:rFonts w:asciiTheme="minorHAnsi" w:hAnsiTheme="minorHAnsi"/>
          <w:sz w:val="22"/>
          <w:szCs w:val="22"/>
        </w:rPr>
        <w:t>.</w:t>
      </w:r>
      <w:r w:rsidRPr="00F46EFB">
        <w:rPr>
          <w:rFonts w:asciiTheme="minorHAnsi" w:hAnsiTheme="minorHAnsi"/>
          <w:sz w:val="22"/>
          <w:szCs w:val="22"/>
        </w:rPr>
        <w:t xml:space="preserve">, 25. i 26. </w:t>
      </w:r>
      <w:r w:rsidRPr="00F46EFB">
        <w:rPr>
          <w:rFonts w:asciiTheme="minorHAnsi" w:hAnsiTheme="minorHAnsi"/>
          <w:bCs/>
          <w:sz w:val="22"/>
          <w:szCs w:val="22"/>
        </w:rPr>
        <w:t xml:space="preserve">Pokrajinske skupštinske odluke o proračunu Autonomne Pokrajine Vojvodine za 2023. godinu </w:t>
      </w:r>
      <w:r w:rsidRPr="00F46EFB">
        <w:rPr>
          <w:rFonts w:asciiTheme="minorHAnsi" w:hAnsiTheme="minorHAnsi"/>
          <w:sz w:val="22"/>
          <w:szCs w:val="22"/>
        </w:rPr>
        <w:t>i opsega osiguranih sredstava za navedene namjene, utvrđenih člankom 11. iste Odluke, obavlja se raspodjela sredstava prema dospjelim prijavama na Natječaj. Pravo na dodjelu proračunskih sredstava Pokrajinskog tajništva za</w:t>
      </w:r>
      <w:r w:rsidR="00B21B1F">
        <w:rPr>
          <w:rFonts w:asciiTheme="minorHAnsi" w:hAnsiTheme="minorHAnsi"/>
          <w:sz w:val="22"/>
          <w:szCs w:val="22"/>
        </w:rPr>
        <w:t xml:space="preserve"> obrazovanje, propise, upravu i nacionalne manjine – nacionalne zajednice za </w:t>
      </w:r>
      <w:r w:rsidRPr="00F46EFB">
        <w:rPr>
          <w:rFonts w:asciiTheme="minorHAnsi" w:hAnsiTheme="minorHAnsi"/>
          <w:sz w:val="22"/>
          <w:szCs w:val="22"/>
        </w:rPr>
        <w:t xml:space="preserve"> unapređivanje položaja nacionalnih manjina – nacionalnih zajednica </w:t>
      </w:r>
      <w:r w:rsidRPr="00F46EFB">
        <w:rPr>
          <w:rFonts w:asciiTheme="minorHAnsi" w:hAnsiTheme="minorHAnsi"/>
          <w:bCs/>
          <w:sz w:val="22"/>
          <w:szCs w:val="22"/>
        </w:rPr>
        <w:t>i razvoj multikulturalizma i tolerancije</w:t>
      </w:r>
      <w:r w:rsidRPr="00F46EFB">
        <w:rPr>
          <w:rFonts w:asciiTheme="minorHAnsi" w:hAnsiTheme="minorHAnsi"/>
          <w:sz w:val="22"/>
          <w:szCs w:val="22"/>
        </w:rPr>
        <w:t xml:space="preserve"> imaju udruge, fondovi i fondacije čiji su programi/projekti usmjereni na očuvanje i njegovanje multikulturalizma i međunacionalne tolerancije na teritoriju Autonomne Pokrajine Vojvodine.</w:t>
      </w:r>
    </w:p>
    <w:p w:rsidR="00F46EFB" w:rsidRPr="00F46EFB" w:rsidRDefault="00F46EFB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737C2" w:rsidRPr="00F46EFB" w:rsidRDefault="00113877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6EFB">
        <w:rPr>
          <w:rFonts w:asciiTheme="minorHAnsi" w:hAnsiTheme="minorHAnsi"/>
          <w:sz w:val="22"/>
          <w:szCs w:val="22"/>
        </w:rPr>
        <w:t xml:space="preserve">Člankom 15. Pokrajinske skupštinske odluke o pokrajinskoj upravi </w:t>
      </w:r>
      <w:r w:rsidRPr="00F46EFB">
        <w:rPr>
          <w:rFonts w:asciiTheme="minorHAnsi" w:hAnsiTheme="minorHAnsi"/>
          <w:bCs/>
          <w:sz w:val="22"/>
          <w:szCs w:val="22"/>
        </w:rPr>
        <w:t>(„Sl. l</w:t>
      </w:r>
      <w:r w:rsidR="00F46EFB">
        <w:rPr>
          <w:rFonts w:asciiTheme="minorHAnsi" w:hAnsiTheme="minorHAnsi"/>
          <w:bCs/>
          <w:sz w:val="22"/>
          <w:szCs w:val="22"/>
        </w:rPr>
        <w:t>ist APV“, broj: 37/14, 54/14 – d</w:t>
      </w:r>
      <w:r w:rsidRPr="00F46EFB">
        <w:rPr>
          <w:rFonts w:asciiTheme="minorHAnsi" w:hAnsiTheme="minorHAnsi"/>
          <w:bCs/>
          <w:sz w:val="22"/>
          <w:szCs w:val="22"/>
        </w:rPr>
        <w:t>r. odluka, 37/2016, 29/2017, 24/2019, 66/2020 i 38/2021)</w:t>
      </w:r>
      <w:r w:rsidRPr="00F46EFB">
        <w:rPr>
          <w:rFonts w:asciiTheme="minorHAnsi" w:hAnsiTheme="minorHAnsi"/>
          <w:sz w:val="22"/>
          <w:szCs w:val="22"/>
        </w:rPr>
        <w:t xml:space="preserve">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</w:t>
      </w:r>
      <w:r w:rsidR="00F46EFB">
        <w:rPr>
          <w:rFonts w:asciiTheme="minorHAnsi" w:hAnsiTheme="minorHAnsi"/>
          <w:sz w:val="22"/>
          <w:szCs w:val="22"/>
        </w:rPr>
        <w:t>sima. Sukladno članku 24. stavku</w:t>
      </w:r>
      <w:r w:rsidRPr="00F46EFB">
        <w:rPr>
          <w:rFonts w:asciiTheme="minorHAnsi" w:hAnsiTheme="minorHAnsi"/>
          <w:sz w:val="22"/>
          <w:szCs w:val="22"/>
        </w:rPr>
        <w:t xml:space="preserve"> 2</w:t>
      </w:r>
      <w:r w:rsidR="00F46EFB">
        <w:rPr>
          <w:rFonts w:asciiTheme="minorHAnsi" w:hAnsiTheme="minorHAnsi"/>
          <w:sz w:val="22"/>
          <w:szCs w:val="22"/>
        </w:rPr>
        <w:t>.</w:t>
      </w:r>
      <w:r w:rsidRPr="00F46EFB">
        <w:rPr>
          <w:rFonts w:asciiTheme="minorHAnsi" w:hAnsiTheme="minorHAnsi"/>
          <w:sz w:val="22"/>
          <w:szCs w:val="22"/>
        </w:rPr>
        <w:t>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</w:t>
      </w:r>
      <w:r w:rsidR="00F46EFB">
        <w:rPr>
          <w:rFonts w:asciiTheme="minorHAnsi" w:hAnsiTheme="minorHAnsi"/>
          <w:sz w:val="22"/>
          <w:szCs w:val="22"/>
        </w:rPr>
        <w:t xml:space="preserve"> zaposlenika. Člankom 37. stavkom</w:t>
      </w:r>
      <w:r w:rsidRPr="00F46EFB">
        <w:rPr>
          <w:rFonts w:asciiTheme="minorHAnsi" w:hAnsiTheme="minorHAnsi"/>
          <w:sz w:val="22"/>
          <w:szCs w:val="22"/>
        </w:rPr>
        <w:t xml:space="preserve"> 5. utvrđeno je da Pokrajinsko tajništvo za obrazovanje, propise, upravu i nacionalne manjine ‒ nacion</w:t>
      </w:r>
      <w:r w:rsidR="00F46EFB">
        <w:rPr>
          <w:rFonts w:asciiTheme="minorHAnsi" w:hAnsiTheme="minorHAnsi"/>
          <w:sz w:val="22"/>
          <w:szCs w:val="22"/>
        </w:rPr>
        <w:t>alne zajednice, sukladno zakonu:</w:t>
      </w:r>
      <w:r w:rsidRPr="00F46EFB">
        <w:rPr>
          <w:rFonts w:asciiTheme="minorHAnsi" w:hAnsiTheme="minorHAnsi"/>
          <w:sz w:val="22"/>
          <w:szCs w:val="22"/>
        </w:rPr>
        <w:t xml:space="preserve"> obavlja poslove pokrajinske uprave koji se odnose na pripremu akata za Skupštinu ili Pokrajinsku vla</w:t>
      </w:r>
      <w:r w:rsidR="00F46EFB">
        <w:rPr>
          <w:rFonts w:asciiTheme="minorHAnsi" w:hAnsiTheme="minorHAnsi"/>
          <w:sz w:val="22"/>
          <w:szCs w:val="22"/>
        </w:rPr>
        <w:t>du, a kojima se, između ostalog,</w:t>
      </w:r>
      <w:r w:rsidRPr="00F46EFB">
        <w:rPr>
          <w:rFonts w:asciiTheme="minorHAnsi" w:hAnsiTheme="minorHAnsi"/>
          <w:sz w:val="22"/>
          <w:szCs w:val="22"/>
        </w:rPr>
        <w:t xml:space="preserve"> doprinosi razvoju interkulturalizma, afirmacije multikulturalizma, tolerancije i suživota nacionalnih manjina ‒ nacionalnih zajednica koje žive na teritoriju AP Vojvodine; brine o ostvarivanju prava u području ljudskih prava i prava pripadnika nacionalnih manjina ‒ </w:t>
      </w:r>
      <w:r w:rsidR="00F46EFB">
        <w:rPr>
          <w:rFonts w:asciiTheme="minorHAnsi" w:hAnsiTheme="minorHAnsi"/>
          <w:sz w:val="22"/>
          <w:szCs w:val="22"/>
        </w:rPr>
        <w:t>nacionalnih zajednica i utvrđuje</w:t>
      </w:r>
      <w:r w:rsidRPr="00F46EFB">
        <w:rPr>
          <w:rFonts w:asciiTheme="minorHAnsi" w:hAnsiTheme="minorHAnsi"/>
          <w:sz w:val="22"/>
          <w:szCs w:val="22"/>
        </w:rPr>
        <w:t xml:space="preserve"> dodatna prava pripadnika nacionalnih manjina ‒ na</w:t>
      </w:r>
      <w:r w:rsidR="00F46EFB">
        <w:rPr>
          <w:rFonts w:asciiTheme="minorHAnsi" w:hAnsiTheme="minorHAnsi"/>
          <w:sz w:val="22"/>
          <w:szCs w:val="22"/>
        </w:rPr>
        <w:t>cionalnih zajednica; osigurava</w:t>
      </w:r>
      <w:r w:rsidRPr="00F46EFB">
        <w:rPr>
          <w:rFonts w:asciiTheme="minorHAnsi" w:hAnsiTheme="minorHAnsi"/>
          <w:sz w:val="22"/>
          <w:szCs w:val="22"/>
        </w:rPr>
        <w:t xml:space="preserve">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2737C2" w:rsidRDefault="00113877" w:rsidP="002737C2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F46EFB">
        <w:rPr>
          <w:rFonts w:asciiTheme="minorHAnsi" w:hAnsiTheme="minorHAnsi"/>
          <w:bCs/>
          <w:sz w:val="22"/>
          <w:szCs w:val="22"/>
        </w:rPr>
        <w:lastRenderedPageBreak/>
        <w:t>Natječajno povjerenstvo za provedbu postupka dodjele proračunskih sredstava na temelju Javnog natječaja za organizaciju edukativno-rekreacijskog kampa učenika srednjih škola, formirano je rješenjem klasa: 128-90-1017/2023-05 od 22. 5. 2023. godine. Povjerenstvo je zasjedalo 26. 5. 2023. godine i nakon razmatranja i vrednovanja prijava udruga, fo</w:t>
      </w:r>
      <w:r w:rsidR="00F46EFB">
        <w:rPr>
          <w:rFonts w:asciiTheme="minorHAnsi" w:hAnsiTheme="minorHAnsi"/>
          <w:bCs/>
          <w:sz w:val="22"/>
          <w:szCs w:val="22"/>
        </w:rPr>
        <w:t>ndova i fondacija na navedenom N</w:t>
      </w:r>
      <w:r w:rsidRPr="00F46EFB">
        <w:rPr>
          <w:rFonts w:asciiTheme="minorHAnsi" w:hAnsiTheme="minorHAnsi"/>
          <w:bCs/>
          <w:sz w:val="22"/>
          <w:szCs w:val="22"/>
        </w:rPr>
        <w:t>atječaju, utvrdilo je Listu vrednovanja za dodjelu proračunskih sredstava po Javnom natječaju za organizaciju edukativno-rekreacijskog kampa učenika srednjih škola, koja je objavljena na službenoj mrežnoj stranici Pokrajinskog tajništva 26. 5. 2023. godine. Sudionici Natječa</w:t>
      </w:r>
      <w:r w:rsidR="00F46EFB">
        <w:rPr>
          <w:rFonts w:asciiTheme="minorHAnsi" w:hAnsiTheme="minorHAnsi"/>
          <w:bCs/>
          <w:sz w:val="22"/>
          <w:szCs w:val="22"/>
        </w:rPr>
        <w:t>ja imali su pravo prigovora na L</w:t>
      </w:r>
      <w:r w:rsidRPr="00F46EFB">
        <w:rPr>
          <w:rFonts w:asciiTheme="minorHAnsi" w:hAnsiTheme="minorHAnsi"/>
          <w:bCs/>
          <w:sz w:val="22"/>
          <w:szCs w:val="22"/>
        </w:rPr>
        <w:t>istu vrednovanja i rangiranja prijavljenih programa/projekata u roku od 8 dana od dana njezine objave. Na Listu vrednovanja za dodjelu proračunskih sredstava po Javnom natječaju za organizaciju edukativno-rekreacijsk</w:t>
      </w:r>
      <w:r w:rsidR="00F46EFB">
        <w:rPr>
          <w:rFonts w:asciiTheme="minorHAnsi" w:hAnsiTheme="minorHAnsi"/>
          <w:bCs/>
          <w:sz w:val="22"/>
          <w:szCs w:val="22"/>
        </w:rPr>
        <w:t>og kampa učenika srednjih škola</w:t>
      </w:r>
      <w:r w:rsidRPr="00F46EFB">
        <w:rPr>
          <w:rFonts w:asciiTheme="minorHAnsi" w:hAnsiTheme="minorHAnsi"/>
          <w:bCs/>
          <w:sz w:val="22"/>
          <w:szCs w:val="22"/>
        </w:rPr>
        <w:t xml:space="preserve"> nije bilo prigovora.</w:t>
      </w:r>
    </w:p>
    <w:p w:rsidR="00F46EFB" w:rsidRPr="00F46EFB" w:rsidRDefault="00F46EFB" w:rsidP="002737C2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737C2" w:rsidRPr="00F46EFB" w:rsidRDefault="00113877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6EFB">
        <w:rPr>
          <w:rFonts w:asciiTheme="minorHAnsi" w:hAnsiTheme="minorHAnsi"/>
          <w:sz w:val="22"/>
          <w:szCs w:val="22"/>
        </w:rPr>
        <w:t>Sukladno navedenom, a u vezi s člankom 11.</w:t>
      </w:r>
      <w:r w:rsidRPr="00F46EFB">
        <w:rPr>
          <w:rFonts w:asciiTheme="minorHAnsi" w:hAnsiTheme="minorHAnsi"/>
          <w:bCs/>
          <w:sz w:val="22"/>
          <w:szCs w:val="22"/>
        </w:rPr>
        <w:t xml:space="preserve"> Pokrajinske s</w:t>
      </w:r>
      <w:bookmarkStart w:id="0" w:name="_GoBack"/>
      <w:bookmarkEnd w:id="0"/>
      <w:r w:rsidRPr="00F46EFB">
        <w:rPr>
          <w:rFonts w:asciiTheme="minorHAnsi" w:hAnsiTheme="minorHAnsi"/>
          <w:bCs/>
          <w:sz w:val="22"/>
          <w:szCs w:val="22"/>
        </w:rPr>
        <w:t xml:space="preserve">kupštinske odluke o dodjeli proračunskih sredstava za unapređenje položaja nacionalnih manjina – nacionalnih zajednica i razvoj multikulturalizma i tolerancije, </w:t>
      </w:r>
      <w:r w:rsidRPr="00F46EFB">
        <w:rPr>
          <w:rFonts w:asciiTheme="minorHAnsi" w:hAnsiTheme="minorHAnsi"/>
          <w:sz w:val="22"/>
          <w:szCs w:val="22"/>
        </w:rPr>
        <w:t xml:space="preserve">na prijedlog natječajnog povjerenstva </w:t>
      </w:r>
      <w:r w:rsidRPr="00F46EFB">
        <w:rPr>
          <w:rFonts w:asciiTheme="minorHAnsi" w:hAnsiTheme="minorHAnsi"/>
          <w:bCs/>
          <w:sz w:val="22"/>
          <w:szCs w:val="22"/>
        </w:rPr>
        <w:t>za provedbu postupka dodjele proračunskih sredstava na temelju Javnog natječaja za organizaciju edukativno-rekreacijskog kampa učenika srednjih škola, pokrajinski tajnik</w:t>
      </w:r>
      <w:r w:rsidRPr="00F46EFB">
        <w:rPr>
          <w:rFonts w:asciiTheme="minorHAnsi" w:hAnsiTheme="minorHAnsi"/>
          <w:sz w:val="22"/>
          <w:szCs w:val="22"/>
        </w:rPr>
        <w:t xml:space="preserve"> je donio rješenje kao u izreci.</w:t>
      </w:r>
    </w:p>
    <w:p w:rsidR="0038748D" w:rsidRPr="00F46EFB" w:rsidRDefault="0038748D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737C2" w:rsidRPr="00F46EFB" w:rsidRDefault="00113877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6EFB">
        <w:rPr>
          <w:rFonts w:asciiTheme="minorHAnsi" w:hAnsiTheme="minorHAnsi"/>
          <w:sz w:val="22"/>
          <w:szCs w:val="22"/>
        </w:rPr>
        <w:t>Ovo rješenje je konačno.</w:t>
      </w:r>
    </w:p>
    <w:p w:rsidR="0038748D" w:rsidRPr="00F46EFB" w:rsidRDefault="0038748D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8748D" w:rsidRPr="00F46EFB" w:rsidRDefault="0038748D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F46EFB" w:rsidTr="007208A2">
        <w:tc>
          <w:tcPr>
            <w:tcW w:w="3176" w:type="dxa"/>
            <w:shd w:val="clear" w:color="auto" w:fill="auto"/>
          </w:tcPr>
          <w:p w:rsidR="002737C2" w:rsidRPr="00F46EFB" w:rsidRDefault="00113877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6EFB">
              <w:rPr>
                <w:rFonts w:asciiTheme="minorHAnsi" w:hAnsiTheme="minorHAnsi"/>
                <w:sz w:val="22"/>
                <w:szCs w:val="22"/>
              </w:rPr>
              <w:t>POKRAJINSKI TAJNIK</w:t>
            </w:r>
          </w:p>
        </w:tc>
      </w:tr>
      <w:tr w:rsidR="002737C2" w:rsidRPr="00F46EFB" w:rsidTr="007208A2">
        <w:tc>
          <w:tcPr>
            <w:tcW w:w="3176" w:type="dxa"/>
            <w:shd w:val="clear" w:color="auto" w:fill="auto"/>
          </w:tcPr>
          <w:p w:rsidR="002737C2" w:rsidRPr="00F46EFB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7C2" w:rsidRPr="00F46EFB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6EFB">
              <w:rPr>
                <w:rFonts w:asciiTheme="minorHAnsi" w:hAnsiTheme="minorHAnsi"/>
                <w:sz w:val="22"/>
                <w:szCs w:val="22"/>
              </w:rPr>
              <w:t>Zsolt Szakállas</w:t>
            </w:r>
          </w:p>
        </w:tc>
      </w:tr>
      <w:tr w:rsidR="002737C2" w:rsidRPr="00F46EFB" w:rsidTr="007208A2">
        <w:tc>
          <w:tcPr>
            <w:tcW w:w="3176" w:type="dxa"/>
            <w:shd w:val="clear" w:color="auto" w:fill="auto"/>
          </w:tcPr>
          <w:p w:rsidR="002737C2" w:rsidRPr="00F46EFB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70FF" w:rsidRPr="00F46EFB" w:rsidRDefault="00F870FF" w:rsidP="00D0326D">
      <w:pPr>
        <w:tabs>
          <w:tab w:val="center" w:pos="7088"/>
        </w:tabs>
        <w:jc w:val="both"/>
        <w:rPr>
          <w:rFonts w:ascii="Calibri" w:hAnsi="Calibri"/>
          <w:sz w:val="22"/>
          <w:szCs w:val="22"/>
        </w:rPr>
      </w:pPr>
    </w:p>
    <w:sectPr w:rsidR="00F870FF" w:rsidRPr="00F46EFB" w:rsidSect="00F46EF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13877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7285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07AD1"/>
    <w:rsid w:val="0073191C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1B1F"/>
    <w:rsid w:val="00B24CC2"/>
    <w:rsid w:val="00B40C38"/>
    <w:rsid w:val="00B44DC9"/>
    <w:rsid w:val="00B56150"/>
    <w:rsid w:val="00B56AE4"/>
    <w:rsid w:val="00B81707"/>
    <w:rsid w:val="00B875F7"/>
    <w:rsid w:val="00BB265B"/>
    <w:rsid w:val="00BB7FB7"/>
    <w:rsid w:val="00BC5505"/>
    <w:rsid w:val="00BE61DE"/>
    <w:rsid w:val="00BF5D56"/>
    <w:rsid w:val="00C31E53"/>
    <w:rsid w:val="00C3606B"/>
    <w:rsid w:val="00C42F6B"/>
    <w:rsid w:val="00C51D82"/>
    <w:rsid w:val="00C87B97"/>
    <w:rsid w:val="00CA37A0"/>
    <w:rsid w:val="00CB23BA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E5EFC"/>
    <w:rsid w:val="00E0051A"/>
    <w:rsid w:val="00E11C89"/>
    <w:rsid w:val="00E62E02"/>
    <w:rsid w:val="00EA0C56"/>
    <w:rsid w:val="00EB05FD"/>
    <w:rsid w:val="00ED385D"/>
    <w:rsid w:val="00ED7D0E"/>
    <w:rsid w:val="00F062D9"/>
    <w:rsid w:val="00F23D64"/>
    <w:rsid w:val="00F36FE4"/>
    <w:rsid w:val="00F46EFB"/>
    <w:rsid w:val="00F64F96"/>
    <w:rsid w:val="00F75D1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012B-1630-4316-9E42-8AB67520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Hrvoje Kenjerić</cp:lastModifiedBy>
  <cp:revision>16</cp:revision>
  <cp:lastPrinted>2023-06-01T12:43:00Z</cp:lastPrinted>
  <dcterms:created xsi:type="dcterms:W3CDTF">2023-05-18T09:56:00Z</dcterms:created>
  <dcterms:modified xsi:type="dcterms:W3CDTF">2023-06-02T07:03:00Z</dcterms:modified>
</cp:coreProperties>
</file>