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E021" w14:textId="13FCA5D8" w:rsidR="009E6661" w:rsidRPr="006420A7" w:rsidRDefault="00077BF8" w:rsidP="00E209D3">
      <w:pPr>
        <w:pStyle w:val="BodyText"/>
        <w:spacing w:line="232" w:lineRule="auto"/>
        <w:ind w:left="123" w:right="118" w:firstLine="406"/>
        <w:jc w:val="both"/>
        <w:rPr>
          <w:rFonts w:eastAsia="Times New Roman"/>
          <w:sz w:val="20"/>
          <w:szCs w:val="20"/>
        </w:rPr>
      </w:pPr>
      <w:r>
        <w:rPr>
          <w:sz w:val="20"/>
          <w:szCs w:val="20"/>
        </w:rPr>
        <w:t>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15, 16</w:t>
      </w:r>
      <w:r w:rsidR="006F5F4F">
        <w:rPr>
          <w:sz w:val="20"/>
          <w:szCs w:val="20"/>
          <w:lang w:val="en-US"/>
        </w:rPr>
        <w:t>.</w:t>
      </w:r>
      <w:r>
        <w:rPr>
          <w:sz w:val="20"/>
          <w:szCs w:val="20"/>
        </w:rPr>
        <w:t xml:space="preserve"> и члена 24. пасус 2. Покраїнскей скупштинскей одлуки о покраїнскей управи («Службени новини АПВ», число 37/14, 54/14 </w:t>
      </w:r>
      <w:r w:rsidR="00DC52AC">
        <w:rPr>
          <w:sz w:val="20"/>
          <w:szCs w:val="20"/>
          <w:lang w:val="en-US"/>
        </w:rPr>
        <w:t xml:space="preserve">– </w:t>
      </w:r>
      <w:r>
        <w:rPr>
          <w:sz w:val="20"/>
          <w:szCs w:val="20"/>
        </w:rPr>
        <w:t xml:space="preserve">др. одлука 37/16, 29/2017, 24/2019, 66/2020 и 38/2021), покраїнски секретар за образованє, предписаня, управу и национални меншини </w:t>
      </w:r>
      <w:r w:rsidR="00DC52AC">
        <w:rPr>
          <w:sz w:val="20"/>
          <w:szCs w:val="20"/>
        </w:rPr>
        <w:t>–</w:t>
      </w:r>
      <w:r>
        <w:rPr>
          <w:sz w:val="20"/>
          <w:szCs w:val="20"/>
        </w:rPr>
        <w:t xml:space="preserve"> национални заєднїци, п р и н о ш и</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Pr>
          <w:b/>
          <w:bCs/>
          <w:sz w:val="20"/>
          <w:szCs w:val="20"/>
        </w:rPr>
        <w:t>ПРАВИЛНЇК</w:t>
      </w:r>
    </w:p>
    <w:p w14:paraId="1324A443" w14:textId="32F9F7EE" w:rsidR="009E6661" w:rsidRPr="006420A7" w:rsidRDefault="00077BF8" w:rsidP="00935AB9">
      <w:pPr>
        <w:widowControl/>
        <w:autoSpaceDE/>
        <w:autoSpaceDN/>
        <w:jc w:val="center"/>
        <w:rPr>
          <w:rFonts w:eastAsia="Times New Roman"/>
          <w:b/>
          <w:bCs/>
          <w:sz w:val="20"/>
          <w:szCs w:val="20"/>
        </w:rPr>
      </w:pPr>
      <w:r>
        <w:rPr>
          <w:b/>
          <w:bCs/>
          <w:sz w:val="20"/>
          <w:szCs w:val="20"/>
        </w:rPr>
        <w:t xml:space="preserve">О ДОДЗЕЛЬОВАНЮ БУДЖЕТНИХ СРЕДСТВОХ ПОКРАЇНСКОГО СЕКРЕТАРИЯТУ ЗА ОБРАЗОВАНЄ, ПРЕДПИСАНЯ, УПPABУ И НАЦИОНАЛНИ МЕНШИНИ </w:t>
      </w:r>
      <w:r w:rsidR="00980F48">
        <w:rPr>
          <w:b/>
          <w:bCs/>
          <w:sz w:val="20"/>
          <w:szCs w:val="20"/>
          <w:lang w:val="sr-Cyrl-CS"/>
        </w:rPr>
        <w:t xml:space="preserve">– </w:t>
      </w:r>
      <w:r>
        <w:rPr>
          <w:b/>
          <w:bCs/>
          <w:sz w:val="20"/>
          <w:szCs w:val="20"/>
        </w:rPr>
        <w:t>НАЦИОНАЛНИ ЗАЄДНЇЦИ ЗА ФИНАНСОВАНЄ И СОФИНАНСОВАНЄ НАБАВКИ ОПРЕМИ ЗА ОСНОВНИ ШКОЛИ ХТОРИ МАЮ СТАТУС ЯBHO ПРИПОЗНАТИХ ОРҐАНИЗАТОРОХ АКТИВНОСЦОХ ФОРМАЛНОГО ОСНОВНОГО ОБРАЗОВАНЯ ОДРОСНУТИХ НА ТЕРИТОРИЇ AВTOHOMHEЙ ПОКРАЇНИ ВОЙВОДИНИ</w:t>
      </w:r>
    </w:p>
    <w:p w14:paraId="7FBE557C" w14:textId="77777777" w:rsidR="009E6661" w:rsidRPr="006420A7" w:rsidRDefault="009E6661">
      <w:pPr>
        <w:pStyle w:val="BodyText"/>
        <w:spacing w:before="7"/>
        <w:rPr>
          <w:b/>
          <w:sz w:val="20"/>
          <w:szCs w:val="20"/>
        </w:rPr>
      </w:pPr>
    </w:p>
    <w:p w14:paraId="43E26A43" w14:textId="77777777" w:rsidR="009E6661" w:rsidRPr="006420A7" w:rsidRDefault="00077BF8" w:rsidP="008E282A">
      <w:pPr>
        <w:pStyle w:val="BodyText"/>
        <w:ind w:left="216" w:right="196"/>
        <w:jc w:val="center"/>
        <w:rPr>
          <w:rFonts w:eastAsia="Times New Roman"/>
          <w:sz w:val="20"/>
          <w:szCs w:val="20"/>
        </w:rPr>
      </w:pPr>
      <w:r>
        <w:rPr>
          <w:sz w:val="20"/>
          <w:szCs w:val="20"/>
        </w:rPr>
        <w:t>Член 1.</w:t>
      </w:r>
    </w:p>
    <w:p w14:paraId="60135BB0" w14:textId="77777777" w:rsidR="009E6661" w:rsidRPr="006420A7" w:rsidRDefault="009E6661">
      <w:pPr>
        <w:pStyle w:val="BodyText"/>
        <w:rPr>
          <w:rFonts w:eastAsia="Times New Roman"/>
          <w:sz w:val="20"/>
          <w:szCs w:val="20"/>
        </w:rPr>
      </w:pPr>
    </w:p>
    <w:p w14:paraId="61B1567D" w14:textId="14C2ADBB" w:rsidR="009E6661" w:rsidRPr="006420A7" w:rsidRDefault="00077BF8">
      <w:pPr>
        <w:pStyle w:val="BodyText"/>
        <w:spacing w:line="232" w:lineRule="auto"/>
        <w:ind w:left="123" w:right="118" w:firstLine="406"/>
        <w:jc w:val="both"/>
        <w:rPr>
          <w:rFonts w:eastAsia="Times New Roman"/>
          <w:sz w:val="20"/>
          <w:szCs w:val="20"/>
        </w:rPr>
      </w:pPr>
      <w:r>
        <w:rPr>
          <w:sz w:val="20"/>
          <w:szCs w:val="20"/>
        </w:rPr>
        <w:t>Зоз тим правилнїком ше ушорює способ, условия и критериюми за додзельованє буджетних средствох (у дальшим тексту: средства) за финансованє и софинансованє набавки опреми у основних школох хтори маю статус явно припознатих орґанизаторох активносцох формалного основного образованя одроснутих на териториї Автономней покраїни Войводини (у дальшим тексту: АП Войводина), у складзе з</w:t>
      </w:r>
      <w:r w:rsidR="00980F48">
        <w:rPr>
          <w:sz w:val="20"/>
          <w:szCs w:val="20"/>
          <w:lang w:val="sr-Cyrl-CS"/>
        </w:rPr>
        <w:t>оз</w:t>
      </w:r>
      <w:r>
        <w:rPr>
          <w:sz w:val="20"/>
          <w:szCs w:val="20"/>
        </w:rPr>
        <w:t xml:space="preserve"> апроприяциями яки одобрени з</w:t>
      </w:r>
      <w:r w:rsidR="00980F48">
        <w:rPr>
          <w:sz w:val="20"/>
          <w:szCs w:val="20"/>
          <w:lang w:val="sr-Cyrl-CS"/>
        </w:rPr>
        <w:t>оз</w:t>
      </w:r>
      <w:r>
        <w:rPr>
          <w:sz w:val="20"/>
          <w:szCs w:val="20"/>
        </w:rPr>
        <w:t xml:space="preserve"> одлуку о буджету Автономней покраїни Войводини у рамикох роздїлу Покраїнского секретарияту за образованє, предписаня, управу и национални меншини </w:t>
      </w:r>
      <w:r w:rsidR="00980F48">
        <w:rPr>
          <w:sz w:val="20"/>
          <w:szCs w:val="20"/>
          <w:lang w:val="sr-Cyrl-CS"/>
        </w:rPr>
        <w:t xml:space="preserve">– </w:t>
      </w:r>
      <w:r>
        <w:rPr>
          <w:sz w:val="20"/>
          <w:szCs w:val="20"/>
        </w:rPr>
        <w:t>национални заєднїци (у дальшим тексту: Покраїнски секретарият).</w:t>
      </w:r>
    </w:p>
    <w:p w14:paraId="6B4FD44C" w14:textId="77777777" w:rsidR="009E6661" w:rsidRPr="006420A7" w:rsidRDefault="009E6661" w:rsidP="00935AB9">
      <w:pPr>
        <w:pStyle w:val="BodyText"/>
        <w:ind w:left="216" w:right="196"/>
        <w:jc w:val="center"/>
        <w:rPr>
          <w:rFonts w:eastAsia="Times New Roman"/>
          <w:sz w:val="20"/>
          <w:szCs w:val="20"/>
        </w:rPr>
      </w:pPr>
    </w:p>
    <w:p w14:paraId="70904E1C" w14:textId="77777777" w:rsidR="009E6661" w:rsidRPr="006420A7" w:rsidRDefault="00077BF8" w:rsidP="00935AB9">
      <w:pPr>
        <w:pStyle w:val="BodyText"/>
        <w:ind w:left="216" w:right="196"/>
        <w:jc w:val="center"/>
        <w:rPr>
          <w:rFonts w:eastAsia="Times New Roman"/>
          <w:sz w:val="20"/>
          <w:szCs w:val="20"/>
        </w:rPr>
      </w:pPr>
      <w:r>
        <w:rPr>
          <w:sz w:val="20"/>
          <w:szCs w:val="20"/>
        </w:rPr>
        <w:t>Член 2.</w:t>
      </w:r>
    </w:p>
    <w:p w14:paraId="6B117497" w14:textId="77777777" w:rsidR="009E6661" w:rsidRPr="006420A7" w:rsidRDefault="009E6661">
      <w:pPr>
        <w:pStyle w:val="BodyText"/>
        <w:spacing w:before="9"/>
        <w:rPr>
          <w:sz w:val="20"/>
          <w:szCs w:val="20"/>
        </w:rPr>
      </w:pPr>
    </w:p>
    <w:p w14:paraId="17B2BEC4" w14:textId="77777777" w:rsidR="009E6661" w:rsidRPr="006420A7" w:rsidRDefault="00077BF8" w:rsidP="00935AB9">
      <w:pPr>
        <w:pStyle w:val="BodyText"/>
        <w:ind w:left="216" w:right="196" w:firstLine="358"/>
        <w:jc w:val="both"/>
        <w:rPr>
          <w:rFonts w:eastAsia="Times New Roman"/>
          <w:sz w:val="20"/>
          <w:szCs w:val="20"/>
        </w:rPr>
      </w:pPr>
      <w:r>
        <w:rPr>
          <w:sz w:val="20"/>
          <w:szCs w:val="20"/>
        </w:rPr>
        <w:t>Право на додзельованє средствох маю основи школи на териториї АП Войводини чий снователь Република Сeрбия, АП Войводина и єдинка локалнeй самоуправи и хтори маю статус явно припознатих орґанизаторох активносцох формалного основного образованя одроснутих, односно маю ришенє Покраїнского секретарияту o виполньованю предписаних условийох за окончованє дїялносци формалного основного образованя одроснутих (у дальшим тексту: хаснователє).</w:t>
      </w:r>
    </w:p>
    <w:p w14:paraId="3F4D2D0F" w14:textId="77777777" w:rsidR="009E6661" w:rsidRPr="006420A7" w:rsidRDefault="009E6661" w:rsidP="00935AB9">
      <w:pPr>
        <w:pStyle w:val="BodyText"/>
        <w:ind w:left="216" w:right="196"/>
        <w:jc w:val="center"/>
        <w:rPr>
          <w:rFonts w:eastAsia="Times New Roman"/>
          <w:sz w:val="20"/>
          <w:szCs w:val="20"/>
        </w:rPr>
      </w:pPr>
    </w:p>
    <w:p w14:paraId="0EC679B6" w14:textId="77777777" w:rsidR="00935AB9" w:rsidRPr="006420A7" w:rsidRDefault="00935AB9" w:rsidP="00935AB9">
      <w:pPr>
        <w:pStyle w:val="BodyText"/>
        <w:ind w:left="216" w:right="196"/>
        <w:jc w:val="center"/>
        <w:rPr>
          <w:rFonts w:eastAsia="Times New Roman"/>
          <w:sz w:val="20"/>
          <w:szCs w:val="20"/>
        </w:rPr>
      </w:pPr>
      <w:r>
        <w:rPr>
          <w:sz w:val="20"/>
          <w:szCs w:val="20"/>
        </w:rPr>
        <w:t>Член 3.</w:t>
      </w:r>
    </w:p>
    <w:p w14:paraId="6F37E5C0" w14:textId="77777777" w:rsidR="00077BF8" w:rsidRPr="00473CA2" w:rsidRDefault="00077BF8" w:rsidP="00077BF8">
      <w:pPr>
        <w:pStyle w:val="xmsonormal"/>
        <w:ind w:left="90" w:firstLine="450"/>
        <w:jc w:val="both"/>
        <w:rPr>
          <w:rFonts w:ascii="Calibri" w:eastAsia="Times New Roman" w:hAnsi="Calibri" w:cs="Calibri"/>
          <w:sz w:val="20"/>
          <w:szCs w:val="20"/>
        </w:rPr>
      </w:pPr>
      <w:r>
        <w:rPr>
          <w:rFonts w:ascii="Calibri" w:hAnsi="Calibri"/>
          <w:sz w:val="20"/>
          <w:szCs w:val="20"/>
        </w:rPr>
        <w:t>Набавку опреми зоз члена 1. того правилнїка ше финансує и софинансує прейґ конкурса (у дальшим тексту: Конкурс), хтори ше розписує найменєй раз у року, у складзе зоз финансийним планом Секретарияту.</w:t>
      </w:r>
    </w:p>
    <w:p w14:paraId="1AD84B1F" w14:textId="77777777" w:rsidR="009E6661" w:rsidRPr="006420A7" w:rsidRDefault="00077BF8" w:rsidP="006E728C">
      <w:pPr>
        <w:pStyle w:val="BodyText"/>
        <w:ind w:left="216" w:right="196"/>
        <w:jc w:val="center"/>
        <w:rPr>
          <w:rFonts w:eastAsia="Times New Roman"/>
          <w:sz w:val="20"/>
          <w:szCs w:val="20"/>
        </w:rPr>
      </w:pPr>
      <w:r>
        <w:rPr>
          <w:sz w:val="20"/>
          <w:szCs w:val="20"/>
        </w:rPr>
        <w:t>Член 4.</w:t>
      </w:r>
    </w:p>
    <w:p w14:paraId="76C6ACA4" w14:textId="77777777" w:rsidR="009E6661" w:rsidRPr="006420A7" w:rsidRDefault="009E6661">
      <w:pPr>
        <w:pStyle w:val="BodyText"/>
        <w:spacing w:before="4"/>
        <w:rPr>
          <w:sz w:val="20"/>
          <w:szCs w:val="20"/>
        </w:rPr>
      </w:pPr>
    </w:p>
    <w:p w14:paraId="3ED9FB40" w14:textId="77777777" w:rsidR="00077BF8" w:rsidRPr="006420A7" w:rsidRDefault="00077BF8" w:rsidP="00077BF8">
      <w:pPr>
        <w:pStyle w:val="BodyText"/>
        <w:ind w:left="216" w:right="196" w:firstLine="358"/>
        <w:jc w:val="both"/>
        <w:rPr>
          <w:rFonts w:eastAsia="Times New Roman"/>
          <w:sz w:val="20"/>
          <w:szCs w:val="20"/>
        </w:rPr>
      </w:pPr>
      <w:r>
        <w:rPr>
          <w:sz w:val="20"/>
          <w:szCs w:val="20"/>
        </w:rPr>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p>
    <w:p w14:paraId="4B88A0D7" w14:textId="77777777" w:rsidR="009E6661" w:rsidRPr="006420A7" w:rsidRDefault="009E6661" w:rsidP="006E728C">
      <w:pPr>
        <w:pStyle w:val="BodyText"/>
        <w:ind w:left="216" w:right="196"/>
        <w:jc w:val="center"/>
        <w:rPr>
          <w:rFonts w:eastAsia="Times New Roman"/>
          <w:sz w:val="20"/>
          <w:szCs w:val="20"/>
        </w:rPr>
      </w:pPr>
    </w:p>
    <w:p w14:paraId="538F22BC" w14:textId="77777777" w:rsidR="009E6661" w:rsidRPr="006420A7" w:rsidRDefault="00077BF8" w:rsidP="006E728C">
      <w:pPr>
        <w:pStyle w:val="BodyText"/>
        <w:ind w:left="216" w:right="196"/>
        <w:jc w:val="center"/>
        <w:rPr>
          <w:rFonts w:eastAsia="Times New Roman"/>
          <w:sz w:val="20"/>
          <w:szCs w:val="20"/>
        </w:rPr>
      </w:pPr>
      <w:r>
        <w:rPr>
          <w:sz w:val="20"/>
          <w:szCs w:val="20"/>
        </w:rPr>
        <w:t>Член 5.</w:t>
      </w:r>
    </w:p>
    <w:p w14:paraId="35345CD7" w14:textId="77777777" w:rsidR="009E6661" w:rsidRPr="006420A7" w:rsidRDefault="009E6661">
      <w:pPr>
        <w:pStyle w:val="BodyText"/>
        <w:spacing w:before="10"/>
        <w:rPr>
          <w:sz w:val="20"/>
          <w:szCs w:val="20"/>
        </w:rPr>
      </w:pPr>
    </w:p>
    <w:p w14:paraId="34DA7614" w14:textId="1D92F583" w:rsidR="00151483" w:rsidRPr="00473CA2" w:rsidRDefault="00151483" w:rsidP="00980F48">
      <w:pPr>
        <w:pStyle w:val="BodyText"/>
        <w:ind w:left="216" w:right="196" w:firstLine="358"/>
        <w:jc w:val="both"/>
        <w:rPr>
          <w:rFonts w:eastAsia="Times New Roman"/>
          <w:sz w:val="20"/>
          <w:szCs w:val="20"/>
        </w:rPr>
      </w:pPr>
      <w:r>
        <w:rPr>
          <w:sz w:val="20"/>
          <w:szCs w:val="20"/>
        </w:rPr>
        <w:t>Конкурс ше обявює на урядовим интернет-боку Секретария</w:t>
      </w:r>
      <w:r w:rsidR="00980F48">
        <w:rPr>
          <w:sz w:val="20"/>
          <w:szCs w:val="20"/>
          <w:lang w:val="sr-Cyrl-CS"/>
        </w:rPr>
        <w:t>т</w:t>
      </w:r>
      <w:r>
        <w:rPr>
          <w:sz w:val="20"/>
          <w:szCs w:val="20"/>
        </w:rPr>
        <w:t>у, у «Службених новинох Автономней покраїни Войводини», у єдним з явних глашнїкох хтори закрива цалу територию АП Войводини.</w:t>
      </w:r>
    </w:p>
    <w:p w14:paraId="3BF0AC2A" w14:textId="77777777" w:rsidR="00151483" w:rsidRPr="00473CA2" w:rsidRDefault="00151483" w:rsidP="00980F48">
      <w:pPr>
        <w:pStyle w:val="BodyText"/>
        <w:ind w:left="216" w:right="196" w:firstLine="358"/>
        <w:jc w:val="both"/>
        <w:rPr>
          <w:rFonts w:eastAsia="Times New Roman"/>
          <w:sz w:val="20"/>
          <w:szCs w:val="20"/>
        </w:rPr>
      </w:pPr>
      <w:r>
        <w:rPr>
          <w:sz w:val="20"/>
          <w:szCs w:val="20"/>
        </w:rPr>
        <w:t xml:space="preserve">Конкурс мож обявиц и на язикох националних меншинох хтори ше службено хаснує у роботи орґанох АП Войводини. </w:t>
      </w:r>
    </w:p>
    <w:p w14:paraId="1B09AB5D" w14:textId="77777777" w:rsidR="00151483" w:rsidRPr="00473CA2" w:rsidRDefault="00151483" w:rsidP="00980F48">
      <w:pPr>
        <w:pStyle w:val="BodyText"/>
        <w:ind w:left="216" w:right="196" w:firstLine="358"/>
        <w:jc w:val="both"/>
        <w:rPr>
          <w:rFonts w:eastAsia="Times New Roman"/>
          <w:sz w:val="20"/>
          <w:szCs w:val="20"/>
        </w:rPr>
      </w:pPr>
      <w:r>
        <w:rPr>
          <w:sz w:val="20"/>
          <w:szCs w:val="20"/>
        </w:rPr>
        <w:t>Прияву на конкурс ше подноши на єдинственим формуларе у чаше хтори по правилу нє може буц кратши як 15 днї по обявйованю конкурса.</w:t>
      </w:r>
    </w:p>
    <w:p w14:paraId="5CFFDC09" w14:textId="77777777" w:rsidR="00151483" w:rsidRDefault="00151483" w:rsidP="006E728C">
      <w:pPr>
        <w:pStyle w:val="BodyText"/>
        <w:spacing w:line="230" w:lineRule="auto"/>
        <w:ind w:left="113" w:right="118" w:firstLine="355"/>
        <w:jc w:val="both"/>
        <w:rPr>
          <w:rFonts w:eastAsia="Times New Roman"/>
          <w:sz w:val="20"/>
          <w:szCs w:val="20"/>
        </w:rPr>
      </w:pPr>
    </w:p>
    <w:p w14:paraId="5EA92986" w14:textId="77777777" w:rsidR="009E6661" w:rsidRPr="006420A7" w:rsidRDefault="00077BF8" w:rsidP="00980F48">
      <w:pPr>
        <w:pStyle w:val="BodyText"/>
        <w:ind w:left="216" w:right="196" w:firstLine="358"/>
        <w:jc w:val="both"/>
        <w:rPr>
          <w:rFonts w:eastAsia="Times New Roman"/>
          <w:sz w:val="20"/>
          <w:szCs w:val="20"/>
        </w:rPr>
      </w:pPr>
      <w:r>
        <w:rPr>
          <w:sz w:val="20"/>
          <w:szCs w:val="20"/>
        </w:rPr>
        <w:lastRenderedPageBreak/>
        <w:t>Документацию хтору ше подноши ґу прияви на конкурс, Покраїнски секретарият предпише у конкурсу.</w:t>
      </w:r>
    </w:p>
    <w:p w14:paraId="1AAAD4DF" w14:textId="77777777" w:rsidR="006E728C" w:rsidRPr="006420A7" w:rsidRDefault="006E728C" w:rsidP="006E728C">
      <w:pPr>
        <w:pStyle w:val="BodyText"/>
        <w:spacing w:line="230" w:lineRule="auto"/>
        <w:ind w:left="113" w:right="118" w:firstLine="355"/>
        <w:jc w:val="both"/>
        <w:rPr>
          <w:rFonts w:eastAsia="Times New Roman"/>
          <w:sz w:val="20"/>
          <w:szCs w:val="20"/>
        </w:rPr>
      </w:pPr>
    </w:p>
    <w:p w14:paraId="26B524AA" w14:textId="77777777" w:rsidR="009E6661" w:rsidRPr="006420A7" w:rsidRDefault="00077BF8" w:rsidP="0067228C">
      <w:pPr>
        <w:pStyle w:val="BodyText"/>
        <w:ind w:left="216" w:right="196"/>
        <w:jc w:val="center"/>
        <w:rPr>
          <w:rFonts w:eastAsia="Times New Roman"/>
          <w:sz w:val="20"/>
          <w:szCs w:val="20"/>
        </w:rPr>
      </w:pPr>
      <w:r>
        <w:rPr>
          <w:sz w:val="20"/>
          <w:szCs w:val="20"/>
        </w:rPr>
        <w:t>Член 6.</w:t>
      </w:r>
    </w:p>
    <w:p w14:paraId="0E4C4356" w14:textId="77777777" w:rsidR="006E728C" w:rsidRPr="006420A7" w:rsidRDefault="006E728C" w:rsidP="006E728C">
      <w:pPr>
        <w:pStyle w:val="BodyText"/>
        <w:ind w:left="216" w:right="196"/>
        <w:jc w:val="center"/>
        <w:rPr>
          <w:rFonts w:eastAsia="Times New Roman"/>
          <w:sz w:val="20"/>
          <w:szCs w:val="20"/>
        </w:rPr>
      </w:pPr>
    </w:p>
    <w:p w14:paraId="2F174C6C" w14:textId="2F5FCB7E" w:rsidR="00F337F1" w:rsidRDefault="00077BF8" w:rsidP="00980F48">
      <w:pPr>
        <w:pStyle w:val="BodyText"/>
        <w:ind w:left="216" w:right="196" w:firstLine="358"/>
        <w:jc w:val="both"/>
        <w:rPr>
          <w:sz w:val="20"/>
          <w:szCs w:val="20"/>
        </w:rPr>
      </w:pPr>
      <w:r>
        <w:rPr>
          <w:sz w:val="20"/>
          <w:szCs w:val="20"/>
        </w:rPr>
        <w:t>Покраїнски секретар цо компетентни за роботи образованя (у дальшим тексту: Покраїнски секретар) формує Комисию за запровадзованє конкурса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(у дальшим тексту: Комисия).</w:t>
      </w:r>
    </w:p>
    <w:p w14:paraId="4427DAF3" w14:textId="56EB9235" w:rsidR="00F337F1" w:rsidRPr="009F2B0C" w:rsidRDefault="00473CA2" w:rsidP="00980F48">
      <w:pPr>
        <w:pStyle w:val="BodyText"/>
        <w:ind w:left="216" w:right="196" w:firstLine="358"/>
        <w:jc w:val="both"/>
        <w:rPr>
          <w:rFonts w:asciiTheme="minorHAnsi" w:eastAsia="Times New Roman" w:hAnsiTheme="minorHAnsi" w:cstheme="minorHAnsi"/>
          <w:noProof/>
          <w:sz w:val="20"/>
          <w:szCs w:val="20"/>
        </w:rPr>
      </w:pPr>
      <w:r>
        <w:rPr>
          <w:rFonts w:asciiTheme="minorHAnsi" w:hAnsiTheme="minorHAnsi"/>
          <w:sz w:val="20"/>
          <w:szCs w:val="20"/>
        </w:rPr>
        <w:t>Члени комисиї длужни подписац вияву же нє маю приватни интерес у вязи з</w:t>
      </w:r>
      <w:r w:rsidR="00980F48">
        <w:rPr>
          <w:rFonts w:asciiTheme="minorHAnsi" w:hAnsiTheme="minorHAnsi"/>
          <w:sz w:val="20"/>
          <w:szCs w:val="20"/>
          <w:lang w:val="sr-Cyrl-CS"/>
        </w:rPr>
        <w:t>оз</w:t>
      </w:r>
      <w:r>
        <w:rPr>
          <w:rFonts w:asciiTheme="minorHAnsi" w:hAnsiTheme="minorHAnsi"/>
          <w:sz w:val="20"/>
          <w:szCs w:val="20"/>
        </w:rPr>
        <w:t xml:space="preserve"> роботу и одлучованьом Комисиї, односно запровадзованьом конкурса (вияву о нєиснованю зраженя интересох).</w:t>
      </w:r>
    </w:p>
    <w:p w14:paraId="48076F86" w14:textId="2654DBFD" w:rsidR="00F337F1" w:rsidRPr="00473CA2" w:rsidRDefault="00473CA2" w:rsidP="00980F48">
      <w:pPr>
        <w:pStyle w:val="BodyText"/>
        <w:ind w:left="216" w:right="196" w:firstLine="358"/>
        <w:jc w:val="both"/>
        <w:rPr>
          <w:rFonts w:asciiTheme="minorHAnsi" w:eastAsia="Times New Roman" w:hAnsiTheme="minorHAnsi" w:cstheme="minorHAnsi"/>
          <w:sz w:val="20"/>
          <w:szCs w:val="20"/>
        </w:rPr>
      </w:pPr>
      <w:r>
        <w:rPr>
          <w:rFonts w:asciiTheme="minorHAnsi" w:hAnsiTheme="minorHAnsi"/>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w:t>
      </w:r>
      <w:r w:rsidR="00980F48">
        <w:rPr>
          <w:rFonts w:asciiTheme="minorHAnsi" w:hAnsiTheme="minorHAnsi"/>
          <w:sz w:val="20"/>
          <w:szCs w:val="20"/>
          <w:lang w:val="sr-Cyrl-CS"/>
        </w:rPr>
        <w:t>оз</w:t>
      </w:r>
      <w:r>
        <w:rPr>
          <w:rFonts w:asciiTheme="minorHAnsi" w:hAnsiTheme="minorHAnsi"/>
          <w:sz w:val="20"/>
          <w:szCs w:val="20"/>
        </w:rPr>
        <w:t xml:space="preserve">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4E84F7B9" w14:textId="77777777" w:rsidR="00980F48" w:rsidRPr="00980F48" w:rsidRDefault="00980F48" w:rsidP="00980F48">
      <w:pPr>
        <w:pStyle w:val="BodyText"/>
        <w:ind w:left="216" w:right="196" w:firstLine="358"/>
        <w:jc w:val="both"/>
        <w:rPr>
          <w:rFonts w:asciiTheme="minorHAnsi" w:hAnsiTheme="minorHAnsi"/>
          <w:sz w:val="8"/>
          <w:szCs w:val="8"/>
        </w:rPr>
      </w:pPr>
    </w:p>
    <w:p w14:paraId="604E39F3" w14:textId="09F99196" w:rsidR="00F337F1" w:rsidRPr="00473CA2" w:rsidRDefault="00473CA2" w:rsidP="00980F48">
      <w:pPr>
        <w:pStyle w:val="BodyText"/>
        <w:ind w:left="216" w:right="196" w:firstLine="358"/>
        <w:jc w:val="both"/>
        <w:rPr>
          <w:rFonts w:asciiTheme="minorHAnsi" w:eastAsia="Times New Roman" w:hAnsiTheme="minorHAnsi" w:cstheme="minorHAnsi"/>
          <w:sz w:val="20"/>
          <w:szCs w:val="20"/>
        </w:rPr>
      </w:pPr>
      <w:r>
        <w:rPr>
          <w:rFonts w:asciiTheme="minorHAnsi" w:hAnsiTheme="minorHAnsi"/>
          <w:sz w:val="20"/>
          <w:szCs w:val="20"/>
        </w:rPr>
        <w:t xml:space="preserve">Член Комисиї подписує вияву пред тим як цо поднєє першу дїю у вязи з конкурсом. </w:t>
      </w:r>
    </w:p>
    <w:p w14:paraId="5E20553D" w14:textId="77777777" w:rsidR="00980F48" w:rsidRPr="00980F48" w:rsidRDefault="00980F48" w:rsidP="00980F48">
      <w:pPr>
        <w:pStyle w:val="BodyText"/>
        <w:ind w:left="216" w:right="196" w:firstLine="358"/>
        <w:jc w:val="both"/>
        <w:rPr>
          <w:rFonts w:asciiTheme="minorHAnsi" w:hAnsiTheme="minorHAnsi"/>
          <w:sz w:val="8"/>
          <w:szCs w:val="8"/>
        </w:rPr>
      </w:pPr>
    </w:p>
    <w:p w14:paraId="090E6F3A" w14:textId="682C65CC" w:rsidR="00F337F1" w:rsidRDefault="00473CA2" w:rsidP="00980F48">
      <w:pPr>
        <w:pStyle w:val="BodyText"/>
        <w:ind w:left="216" w:right="196" w:firstLine="358"/>
        <w:jc w:val="both"/>
        <w:rPr>
          <w:rFonts w:asciiTheme="minorHAnsi" w:hAnsiTheme="minorHAnsi"/>
          <w:sz w:val="20"/>
          <w:szCs w:val="20"/>
        </w:rPr>
      </w:pPr>
      <w:r>
        <w:rPr>
          <w:rFonts w:asciiTheme="minorHAnsi" w:hAnsiTheme="minorHAnsi"/>
          <w:sz w:val="20"/>
          <w:szCs w:val="20"/>
        </w:rPr>
        <w:t>У случаю спознаня же ше находзи у зраженю интересох, член Комисиї длужен о тим такой информовац других членох Комисиї и виокремиц ше з</w:t>
      </w:r>
      <w:r w:rsidR="00980F48">
        <w:rPr>
          <w:rFonts w:asciiTheme="minorHAnsi" w:hAnsiTheme="minorHAnsi"/>
          <w:sz w:val="20"/>
          <w:szCs w:val="20"/>
          <w:lang w:val="sr-Cyrl-CS"/>
        </w:rPr>
        <w:t>оз</w:t>
      </w:r>
      <w:r>
        <w:rPr>
          <w:rFonts w:asciiTheme="minorHAnsi" w:hAnsiTheme="minorHAnsi"/>
          <w:sz w:val="20"/>
          <w:szCs w:val="20"/>
        </w:rPr>
        <w:t xml:space="preserve"> дальшей роботи Комисиї. О ришованю зраженя интересох</w:t>
      </w:r>
      <w:r w:rsidR="00980F48">
        <w:rPr>
          <w:rFonts w:asciiTheme="minorHAnsi" w:hAnsiTheme="minorHAnsi"/>
          <w:sz w:val="20"/>
          <w:szCs w:val="20"/>
          <w:lang w:val="sr-Cyrl-CS"/>
        </w:rPr>
        <w:t>,</w:t>
      </w:r>
      <w:r>
        <w:rPr>
          <w:rFonts w:asciiTheme="minorHAnsi" w:hAnsiTheme="minorHAnsi"/>
          <w:sz w:val="20"/>
          <w:szCs w:val="20"/>
        </w:rPr>
        <w:t xml:space="preserve"> Секретарият одлучує за кажди случай поєдинєчно, а кед утвердзи зраженє интересох, до Комисиї менує нового члена як замену.</w:t>
      </w:r>
    </w:p>
    <w:p w14:paraId="0A4A354E" w14:textId="77777777" w:rsidR="00980F48" w:rsidRPr="00980F48" w:rsidRDefault="00980F48" w:rsidP="00980F48">
      <w:pPr>
        <w:pStyle w:val="BodyText"/>
        <w:ind w:left="216" w:right="196" w:firstLine="358"/>
        <w:jc w:val="both"/>
        <w:rPr>
          <w:rFonts w:asciiTheme="minorHAnsi" w:eastAsia="Times New Roman" w:hAnsiTheme="minorHAnsi" w:cstheme="minorHAnsi"/>
          <w:sz w:val="12"/>
          <w:szCs w:val="12"/>
        </w:rPr>
      </w:pPr>
    </w:p>
    <w:p w14:paraId="4354A5EC" w14:textId="77777777" w:rsidR="009E6661" w:rsidRPr="006420A7" w:rsidRDefault="00077BF8" w:rsidP="00980F48">
      <w:pPr>
        <w:pStyle w:val="BodyText"/>
        <w:ind w:left="216" w:right="196" w:firstLine="358"/>
        <w:jc w:val="both"/>
        <w:rPr>
          <w:sz w:val="20"/>
          <w:szCs w:val="20"/>
        </w:rPr>
      </w:pPr>
      <w:r>
        <w:rPr>
          <w:sz w:val="20"/>
          <w:szCs w:val="20"/>
        </w:rPr>
        <w:t>Комисия розпатра поднєшени прияви на конкурс.</w:t>
      </w:r>
    </w:p>
    <w:p w14:paraId="216E2774" w14:textId="77777777" w:rsidR="009E6661" w:rsidRPr="006420A7" w:rsidRDefault="00077BF8" w:rsidP="00980F48">
      <w:pPr>
        <w:pStyle w:val="BodyText"/>
        <w:ind w:left="216" w:right="196" w:firstLine="358"/>
        <w:jc w:val="both"/>
        <w:rPr>
          <w:sz w:val="20"/>
          <w:szCs w:val="20"/>
        </w:rPr>
      </w:pPr>
      <w:r>
        <w:rPr>
          <w:sz w:val="20"/>
          <w:szCs w:val="20"/>
        </w:rPr>
        <w:t>Комисия утвердзує виполнєносц предписаних условийох на конкурсу.</w:t>
      </w:r>
    </w:p>
    <w:p w14:paraId="19EC4304" w14:textId="77777777" w:rsidR="009E6661" w:rsidRPr="006420A7" w:rsidRDefault="00077BF8" w:rsidP="00980F48">
      <w:pPr>
        <w:pStyle w:val="BodyText"/>
        <w:ind w:left="216" w:right="196" w:firstLine="358"/>
        <w:jc w:val="both"/>
        <w:rPr>
          <w:sz w:val="20"/>
          <w:szCs w:val="20"/>
        </w:rPr>
      </w:pPr>
      <w:r>
        <w:rPr>
          <w:sz w:val="20"/>
          <w:szCs w:val="20"/>
        </w:rPr>
        <w:t>По розпатраню поднєшених приявох на конкурс, Комисия составя обгрунтоване предкладанє за додзельованє средствох и доручує го покраїнскому секретарови.</w:t>
      </w:r>
    </w:p>
    <w:p w14:paraId="17D3BAEF" w14:textId="77777777" w:rsidR="009E6661" w:rsidRPr="006420A7" w:rsidRDefault="009E6661">
      <w:pPr>
        <w:pStyle w:val="BodyText"/>
        <w:rPr>
          <w:sz w:val="20"/>
          <w:szCs w:val="20"/>
        </w:rPr>
      </w:pPr>
    </w:p>
    <w:p w14:paraId="30B72B6E" w14:textId="77777777" w:rsidR="009E6661" w:rsidRPr="006420A7" w:rsidRDefault="00077BF8" w:rsidP="0067228C">
      <w:pPr>
        <w:pStyle w:val="BodyText"/>
        <w:spacing w:line="230" w:lineRule="auto"/>
        <w:ind w:right="118"/>
        <w:jc w:val="center"/>
        <w:rPr>
          <w:rFonts w:eastAsia="Times New Roman"/>
          <w:sz w:val="20"/>
          <w:szCs w:val="20"/>
        </w:rPr>
      </w:pPr>
      <w:r>
        <w:rPr>
          <w:sz w:val="20"/>
          <w:szCs w:val="20"/>
        </w:rPr>
        <w:t>Член 7.</w:t>
      </w:r>
    </w:p>
    <w:p w14:paraId="7E09F52C" w14:textId="77777777" w:rsidR="009E6661" w:rsidRPr="006420A7" w:rsidRDefault="009E6661">
      <w:pPr>
        <w:pStyle w:val="BodyText"/>
        <w:spacing w:before="11"/>
        <w:rPr>
          <w:sz w:val="20"/>
          <w:szCs w:val="20"/>
        </w:rPr>
      </w:pPr>
    </w:p>
    <w:p w14:paraId="5F0F8D7F" w14:textId="77777777" w:rsidR="009E6661" w:rsidRPr="006420A7" w:rsidRDefault="00077BF8" w:rsidP="0067228C">
      <w:pPr>
        <w:pStyle w:val="BodyText"/>
        <w:ind w:left="216" w:right="196" w:firstLine="358"/>
        <w:jc w:val="both"/>
        <w:rPr>
          <w:sz w:val="20"/>
          <w:szCs w:val="20"/>
        </w:rPr>
      </w:pPr>
      <w:r>
        <w:rPr>
          <w:sz w:val="20"/>
          <w:szCs w:val="20"/>
        </w:rPr>
        <w:t>Покраїнски секретар розпатра предкладанє Комисиї и одлучує о розподзельованю средствох хасновательом з Ришеньом.</w:t>
      </w:r>
    </w:p>
    <w:p w14:paraId="72B42C5B" w14:textId="77777777" w:rsidR="009E6661" w:rsidRPr="006420A7" w:rsidRDefault="00077BF8" w:rsidP="0067228C">
      <w:pPr>
        <w:pStyle w:val="BodyText"/>
        <w:ind w:left="216" w:right="196" w:firstLine="358"/>
        <w:jc w:val="both"/>
        <w:rPr>
          <w:sz w:val="20"/>
          <w:szCs w:val="20"/>
        </w:rPr>
      </w:pPr>
      <w:r>
        <w:rPr>
          <w:sz w:val="20"/>
          <w:szCs w:val="20"/>
        </w:rPr>
        <w:t>Ришенє зоз пасуса 1. того члена конєчне.</w:t>
      </w:r>
    </w:p>
    <w:p w14:paraId="05169C7E" w14:textId="1B3B0670" w:rsidR="009E6661" w:rsidRPr="006420A7" w:rsidRDefault="00077BF8" w:rsidP="0067228C">
      <w:pPr>
        <w:pStyle w:val="BodyText"/>
        <w:ind w:left="216" w:right="196" w:firstLine="358"/>
        <w:jc w:val="both"/>
        <w:rPr>
          <w:sz w:val="20"/>
          <w:szCs w:val="20"/>
        </w:rPr>
      </w:pPr>
      <w:r>
        <w:rPr>
          <w:sz w:val="20"/>
          <w:szCs w:val="20"/>
        </w:rPr>
        <w:t>Ришенє зоз пасуса 1. того члена з</w:t>
      </w:r>
      <w:r w:rsidR="0067228C">
        <w:rPr>
          <w:sz w:val="20"/>
          <w:szCs w:val="20"/>
          <w:lang w:val="sr-Cyrl-CS"/>
        </w:rPr>
        <w:t>оз</w:t>
      </w:r>
      <w:r>
        <w:rPr>
          <w:sz w:val="20"/>
          <w:szCs w:val="20"/>
        </w:rPr>
        <w:t xml:space="preserve"> таблїчковим препатрунком у хторим дати податки о додзельованю средствох ше обявює на интернет-боку Покраїнского секретарияту.</w:t>
      </w:r>
    </w:p>
    <w:p w14:paraId="4F7E43F2" w14:textId="43A6628D" w:rsidR="009E6661" w:rsidRPr="006420A7" w:rsidRDefault="00077BF8" w:rsidP="0067228C">
      <w:pPr>
        <w:pStyle w:val="BodyText"/>
        <w:ind w:left="216" w:right="196" w:firstLine="358"/>
        <w:jc w:val="both"/>
        <w:rPr>
          <w:sz w:val="20"/>
          <w:szCs w:val="20"/>
        </w:rPr>
      </w:pPr>
      <w:r>
        <w:rPr>
          <w:sz w:val="20"/>
          <w:szCs w:val="20"/>
        </w:rPr>
        <w:t>Покраїнски секретарият о резултатох конкурса, кед преценї же тото нєобходне, информує подношительох приявох у писаней форми.</w:t>
      </w:r>
    </w:p>
    <w:p w14:paraId="3A018144" w14:textId="77777777" w:rsidR="009E6661" w:rsidRPr="006420A7" w:rsidRDefault="009E6661">
      <w:pPr>
        <w:pStyle w:val="BodyText"/>
        <w:spacing w:before="7"/>
        <w:rPr>
          <w:sz w:val="20"/>
          <w:szCs w:val="20"/>
        </w:rPr>
      </w:pPr>
    </w:p>
    <w:p w14:paraId="66C8EC30" w14:textId="77777777" w:rsidR="009E6661" w:rsidRPr="006420A7" w:rsidRDefault="006E728C" w:rsidP="0067228C">
      <w:pPr>
        <w:pStyle w:val="BodyText"/>
        <w:spacing w:line="230" w:lineRule="auto"/>
        <w:ind w:right="118"/>
        <w:jc w:val="center"/>
        <w:rPr>
          <w:rFonts w:eastAsia="Times New Roman"/>
          <w:sz w:val="20"/>
          <w:szCs w:val="20"/>
        </w:rPr>
      </w:pPr>
      <w:r>
        <w:rPr>
          <w:sz w:val="20"/>
          <w:szCs w:val="20"/>
        </w:rPr>
        <w:t>Член 8.</w:t>
      </w:r>
    </w:p>
    <w:p w14:paraId="4519C926" w14:textId="77777777" w:rsidR="009E6661" w:rsidRPr="006420A7" w:rsidRDefault="009E6661">
      <w:pPr>
        <w:pStyle w:val="BodyText"/>
        <w:spacing w:before="9"/>
        <w:rPr>
          <w:sz w:val="20"/>
          <w:szCs w:val="20"/>
        </w:rPr>
      </w:pPr>
    </w:p>
    <w:p w14:paraId="09469D3C" w14:textId="77777777" w:rsidR="009E6661" w:rsidRPr="006420A7" w:rsidRDefault="00077BF8" w:rsidP="0067228C">
      <w:pPr>
        <w:pStyle w:val="BodyText"/>
        <w:ind w:left="216" w:right="196" w:firstLine="358"/>
        <w:jc w:val="both"/>
        <w:rPr>
          <w:sz w:val="20"/>
          <w:szCs w:val="20"/>
        </w:rPr>
      </w:pPr>
      <w:r>
        <w:rPr>
          <w:sz w:val="20"/>
          <w:szCs w:val="20"/>
        </w:rPr>
        <w:t>При розпатраню поднєшених приявох на конкурс и одлучованю о розподзельованю средствох ше применює тоти критериюми:</w:t>
      </w:r>
    </w:p>
    <w:p w14:paraId="750AC5E2" w14:textId="77777777" w:rsidR="006E728C" w:rsidRPr="006420A7" w:rsidRDefault="00077BF8" w:rsidP="0067228C">
      <w:pPr>
        <w:pStyle w:val="ListParagraph"/>
        <w:numPr>
          <w:ilvl w:val="0"/>
          <w:numId w:val="2"/>
        </w:numPr>
        <w:jc w:val="both"/>
        <w:rPr>
          <w:sz w:val="20"/>
          <w:szCs w:val="20"/>
        </w:rPr>
      </w:pPr>
      <w:r>
        <w:rPr>
          <w:sz w:val="20"/>
          <w:szCs w:val="20"/>
        </w:rPr>
        <w:t>значносц планованого укладаня до опреми з цильом дзвиганя квалитету и модернизациї отримованя настави,</w:t>
      </w:r>
    </w:p>
    <w:p w14:paraId="39566D0F" w14:textId="77777777" w:rsidR="006E728C" w:rsidRPr="006420A7" w:rsidRDefault="00077BF8" w:rsidP="0067228C">
      <w:pPr>
        <w:pStyle w:val="ListParagraph"/>
        <w:numPr>
          <w:ilvl w:val="0"/>
          <w:numId w:val="2"/>
        </w:numPr>
        <w:jc w:val="both"/>
        <w:rPr>
          <w:sz w:val="20"/>
          <w:szCs w:val="20"/>
        </w:rPr>
      </w:pPr>
      <w:r>
        <w:rPr>
          <w:sz w:val="20"/>
          <w:szCs w:val="20"/>
        </w:rPr>
        <w:t>нєобходносц опреми за орґанизованє отримованя настави,</w:t>
      </w:r>
    </w:p>
    <w:p w14:paraId="43A298F6" w14:textId="77777777" w:rsidR="006E728C" w:rsidRPr="006420A7" w:rsidRDefault="00077BF8" w:rsidP="0067228C">
      <w:pPr>
        <w:pStyle w:val="ListParagraph"/>
        <w:numPr>
          <w:ilvl w:val="0"/>
          <w:numId w:val="2"/>
        </w:numPr>
        <w:jc w:val="both"/>
        <w:rPr>
          <w:sz w:val="20"/>
          <w:szCs w:val="20"/>
        </w:rPr>
      </w:pPr>
      <w:r>
        <w:rPr>
          <w:sz w:val="20"/>
          <w:szCs w:val="20"/>
        </w:rPr>
        <w:t>число нащивительох у школи – число остатнїх хасновательох,</w:t>
      </w:r>
    </w:p>
    <w:p w14:paraId="4FD2FE44" w14:textId="77777777" w:rsidR="006E728C" w:rsidRPr="006420A7" w:rsidRDefault="00077BF8" w:rsidP="0067228C">
      <w:pPr>
        <w:pStyle w:val="ListParagraph"/>
        <w:numPr>
          <w:ilvl w:val="0"/>
          <w:numId w:val="2"/>
        </w:numPr>
        <w:jc w:val="both"/>
        <w:rPr>
          <w:sz w:val="20"/>
          <w:szCs w:val="20"/>
        </w:rPr>
      </w:pPr>
      <w:r>
        <w:rPr>
          <w:sz w:val="20"/>
          <w:szCs w:val="20"/>
        </w:rPr>
        <w:t>ступень розвитосци локалней самоуправи на чиєй ше териториї находзи установа образованя;</w:t>
      </w:r>
    </w:p>
    <w:p w14:paraId="6C715BEE" w14:textId="77777777" w:rsidR="006E728C" w:rsidRPr="006420A7" w:rsidRDefault="00077BF8" w:rsidP="0067228C">
      <w:pPr>
        <w:pStyle w:val="ListParagraph"/>
        <w:numPr>
          <w:ilvl w:val="0"/>
          <w:numId w:val="2"/>
        </w:numPr>
        <w:jc w:val="both"/>
        <w:rPr>
          <w:sz w:val="20"/>
          <w:szCs w:val="20"/>
        </w:rPr>
      </w:pPr>
      <w:r>
        <w:rPr>
          <w:sz w:val="20"/>
          <w:szCs w:val="20"/>
        </w:rPr>
        <w:t>иснованє других жридлох финансованя набавки опреми,</w:t>
      </w:r>
    </w:p>
    <w:p w14:paraId="53E0A282" w14:textId="77777777" w:rsidR="009E6661" w:rsidRPr="006420A7" w:rsidRDefault="00077BF8" w:rsidP="0067228C">
      <w:pPr>
        <w:pStyle w:val="ListParagraph"/>
        <w:numPr>
          <w:ilvl w:val="0"/>
          <w:numId w:val="2"/>
        </w:numPr>
        <w:jc w:val="both"/>
        <w:rPr>
          <w:sz w:val="20"/>
          <w:szCs w:val="20"/>
        </w:rPr>
      </w:pPr>
      <w:r>
        <w:rPr>
          <w:sz w:val="20"/>
          <w:szCs w:val="20"/>
        </w:rPr>
        <w:t>набавка опреми хтору преважно мож реализовац у чечуцим буджетним року,</w:t>
      </w:r>
    </w:p>
    <w:p w14:paraId="6BC7488A" w14:textId="77777777" w:rsidR="00077BF8" w:rsidRPr="00473CA2" w:rsidRDefault="00077BF8" w:rsidP="0067228C">
      <w:pPr>
        <w:pStyle w:val="ListParagraph"/>
        <w:numPr>
          <w:ilvl w:val="0"/>
          <w:numId w:val="2"/>
        </w:numPr>
        <w:jc w:val="both"/>
        <w:rPr>
          <w:sz w:val="20"/>
          <w:szCs w:val="20"/>
        </w:rPr>
      </w:pPr>
      <w:r>
        <w:rPr>
          <w:sz w:val="20"/>
          <w:szCs w:val="20"/>
        </w:rPr>
        <w:t>суми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w:t>
      </w:r>
    </w:p>
    <w:p w14:paraId="5736C4E0" w14:textId="56DDAA34" w:rsidR="009E6661" w:rsidRDefault="009E6661">
      <w:pPr>
        <w:pStyle w:val="BodyText"/>
        <w:spacing w:before="10"/>
        <w:rPr>
          <w:sz w:val="20"/>
          <w:szCs w:val="20"/>
        </w:rPr>
      </w:pPr>
    </w:p>
    <w:p w14:paraId="10D76E4D" w14:textId="77777777" w:rsidR="00473CA2" w:rsidRPr="006420A7" w:rsidRDefault="00473CA2">
      <w:pPr>
        <w:pStyle w:val="BodyText"/>
        <w:spacing w:before="10"/>
        <w:rPr>
          <w:sz w:val="20"/>
          <w:szCs w:val="20"/>
        </w:rPr>
      </w:pPr>
    </w:p>
    <w:p w14:paraId="6B2BB132" w14:textId="77777777" w:rsidR="006E728C" w:rsidRPr="006420A7" w:rsidRDefault="006E728C">
      <w:pPr>
        <w:pStyle w:val="BodyText"/>
        <w:spacing w:before="10"/>
        <w:rPr>
          <w:sz w:val="20"/>
          <w:szCs w:val="20"/>
        </w:rPr>
      </w:pPr>
    </w:p>
    <w:p w14:paraId="0639B39E" w14:textId="77777777" w:rsidR="009E6661" w:rsidRPr="006420A7" w:rsidRDefault="00077BF8" w:rsidP="0067228C">
      <w:pPr>
        <w:pStyle w:val="BodyText"/>
        <w:spacing w:line="230" w:lineRule="auto"/>
        <w:ind w:right="118"/>
        <w:jc w:val="center"/>
        <w:rPr>
          <w:rFonts w:eastAsia="Times New Roman"/>
          <w:sz w:val="20"/>
          <w:szCs w:val="20"/>
        </w:rPr>
      </w:pPr>
      <w:r>
        <w:rPr>
          <w:sz w:val="20"/>
          <w:szCs w:val="20"/>
        </w:rPr>
        <w:lastRenderedPageBreak/>
        <w:t>Член 9.</w:t>
      </w:r>
    </w:p>
    <w:p w14:paraId="6EAC6FF7" w14:textId="77777777" w:rsidR="009E6661" w:rsidRPr="006420A7" w:rsidRDefault="009E6661" w:rsidP="006E728C">
      <w:pPr>
        <w:rPr>
          <w:sz w:val="20"/>
          <w:szCs w:val="20"/>
        </w:rPr>
      </w:pPr>
    </w:p>
    <w:p w14:paraId="68504014" w14:textId="77777777" w:rsidR="009E6661" w:rsidRPr="006420A7" w:rsidRDefault="00077BF8" w:rsidP="0067228C">
      <w:pPr>
        <w:pStyle w:val="BodyText"/>
        <w:ind w:left="216" w:right="196" w:firstLine="358"/>
        <w:jc w:val="both"/>
        <w:rPr>
          <w:sz w:val="20"/>
          <w:szCs w:val="20"/>
        </w:rPr>
      </w:pPr>
      <w:r>
        <w:rPr>
          <w:sz w:val="20"/>
          <w:szCs w:val="20"/>
        </w:rPr>
        <w:t>Обовязку за додзельованє средствох Покраїнски секретарият пребера на основи контракту, у смислу закона з яким ше ушорює буджетну систему.</w:t>
      </w:r>
    </w:p>
    <w:p w14:paraId="6BFB0729" w14:textId="77777777" w:rsidR="00473CA2" w:rsidRPr="00473CA2" w:rsidRDefault="00473CA2" w:rsidP="0067228C">
      <w:pPr>
        <w:pStyle w:val="BodyText"/>
        <w:ind w:left="216" w:right="196" w:firstLine="358"/>
        <w:jc w:val="both"/>
        <w:rPr>
          <w:rFonts w:asciiTheme="minorHAnsi" w:hAnsiTheme="minorHAnsi" w:cstheme="minorHAnsi"/>
          <w:sz w:val="20"/>
          <w:szCs w:val="20"/>
          <w:lang w:val="sr-Latn-RS"/>
        </w:rPr>
      </w:pPr>
    </w:p>
    <w:p w14:paraId="184E9D98" w14:textId="21C69D71" w:rsidR="00473CA2" w:rsidRPr="00473CA2" w:rsidRDefault="009F2B0C" w:rsidP="0067228C">
      <w:pPr>
        <w:widowControl/>
        <w:shd w:val="clear" w:color="auto" w:fill="FFFFFF"/>
        <w:autoSpaceDE/>
        <w:autoSpaceDN/>
        <w:spacing w:after="120"/>
        <w:jc w:val="center"/>
        <w:rPr>
          <w:rFonts w:asciiTheme="minorHAnsi" w:hAnsiTheme="minorHAnsi" w:cstheme="minorHAnsi"/>
          <w:sz w:val="20"/>
          <w:szCs w:val="20"/>
        </w:rPr>
      </w:pPr>
      <w:r>
        <w:rPr>
          <w:rFonts w:asciiTheme="minorHAnsi" w:hAnsiTheme="minorHAnsi"/>
          <w:bCs/>
          <w:sz w:val="20"/>
          <w:szCs w:val="20"/>
        </w:rPr>
        <w:t>Член 10.</w:t>
      </w:r>
    </w:p>
    <w:p w14:paraId="1B0080B3" w14:textId="534F0EE9" w:rsidR="00473CA2" w:rsidRPr="0067228C" w:rsidRDefault="00473CA2" w:rsidP="0067228C">
      <w:pPr>
        <w:pStyle w:val="BodyText"/>
        <w:ind w:left="216" w:right="196" w:firstLine="358"/>
        <w:jc w:val="both"/>
        <w:rPr>
          <w:rFonts w:asciiTheme="minorHAnsi" w:hAnsiTheme="minorHAnsi"/>
          <w:bCs/>
          <w:sz w:val="20"/>
          <w:szCs w:val="20"/>
        </w:rPr>
      </w:pPr>
      <w:r>
        <w:rPr>
          <w:rFonts w:asciiTheme="minorHAnsi" w:hAnsiTheme="minorHAnsi"/>
          <w:bCs/>
          <w:sz w:val="20"/>
          <w:szCs w:val="20"/>
        </w:rPr>
        <w:t>З цильом провадзеня реализациї програми або проєкту, Секретарият може реализовац мониторинґ нащиви.</w:t>
      </w:r>
    </w:p>
    <w:p w14:paraId="611F94E9" w14:textId="77777777" w:rsidR="0067228C" w:rsidRPr="0067228C" w:rsidRDefault="0067228C" w:rsidP="0067228C">
      <w:pPr>
        <w:pStyle w:val="BodyText"/>
        <w:ind w:left="216" w:right="196" w:firstLine="358"/>
        <w:jc w:val="both"/>
        <w:rPr>
          <w:rFonts w:asciiTheme="minorHAnsi" w:hAnsiTheme="minorHAnsi"/>
          <w:bCs/>
          <w:sz w:val="8"/>
          <w:szCs w:val="8"/>
        </w:rPr>
      </w:pPr>
    </w:p>
    <w:p w14:paraId="6B43D201" w14:textId="0C2EF660" w:rsidR="00473CA2" w:rsidRPr="0067228C" w:rsidRDefault="00473CA2" w:rsidP="0067228C">
      <w:pPr>
        <w:pStyle w:val="BodyText"/>
        <w:ind w:left="216" w:right="196" w:firstLine="358"/>
        <w:jc w:val="both"/>
        <w:rPr>
          <w:rFonts w:asciiTheme="minorHAnsi" w:hAnsiTheme="minorHAnsi"/>
          <w:bCs/>
          <w:sz w:val="20"/>
          <w:szCs w:val="20"/>
        </w:rPr>
      </w:pPr>
      <w:r>
        <w:rPr>
          <w:rFonts w:asciiTheme="minorHAnsi" w:hAnsiTheme="minorHAnsi"/>
          <w:bCs/>
          <w:sz w:val="20"/>
          <w:szCs w:val="20"/>
        </w:rPr>
        <w:t xml:space="preserve">За програми або проєкти хтори тирваю длужей як шейсц мешаци и чия вредносц одобрених средствох векша як 500.000,00 динари, як и програми або проєкти хтори тирваю длужей як єден рок, Секретарият реализує найменєй єдну мониторинґ нащиву под час тирваня програми або проєкту, односно найменєй раз </w:t>
      </w:r>
      <w:r w:rsidR="0067228C">
        <w:rPr>
          <w:rFonts w:asciiTheme="minorHAnsi" w:hAnsiTheme="minorHAnsi"/>
          <w:bCs/>
          <w:sz w:val="20"/>
          <w:szCs w:val="20"/>
          <w:lang w:val="sr-Cyrl-CS"/>
        </w:rPr>
        <w:t>у року</w:t>
      </w:r>
      <w:r>
        <w:rPr>
          <w:rFonts w:asciiTheme="minorHAnsi" w:hAnsiTheme="minorHAnsi"/>
          <w:bCs/>
          <w:sz w:val="20"/>
          <w:szCs w:val="20"/>
        </w:rPr>
        <w:t>.</w:t>
      </w:r>
    </w:p>
    <w:p w14:paraId="2FFBF866" w14:textId="77777777" w:rsidR="00A41895" w:rsidRPr="00A41895" w:rsidRDefault="00A41895" w:rsidP="0067228C">
      <w:pPr>
        <w:pStyle w:val="BodyText"/>
        <w:ind w:left="216" w:right="196" w:firstLine="358"/>
        <w:jc w:val="both"/>
        <w:rPr>
          <w:rFonts w:asciiTheme="minorHAnsi" w:hAnsiTheme="minorHAnsi"/>
          <w:bCs/>
          <w:sz w:val="12"/>
          <w:szCs w:val="12"/>
        </w:rPr>
      </w:pPr>
    </w:p>
    <w:p w14:paraId="23DC560B" w14:textId="29A48EE6" w:rsidR="00473CA2" w:rsidRPr="0067228C" w:rsidRDefault="00473CA2" w:rsidP="0067228C">
      <w:pPr>
        <w:pStyle w:val="BodyText"/>
        <w:ind w:left="216" w:right="196" w:firstLine="358"/>
        <w:jc w:val="both"/>
        <w:rPr>
          <w:rFonts w:asciiTheme="minorHAnsi" w:hAnsiTheme="minorHAnsi"/>
          <w:bCs/>
          <w:sz w:val="20"/>
          <w:szCs w:val="20"/>
        </w:rPr>
      </w:pPr>
      <w:r w:rsidRPr="0067228C">
        <w:rPr>
          <w:rFonts w:asciiTheme="minorHAnsi" w:hAnsiTheme="minorHAnsi"/>
          <w:bCs/>
          <w:sz w:val="20"/>
          <w:szCs w:val="20"/>
        </w:rPr>
        <w:t>Секретарият прави звит о мониторинґ нащиви у чаше дзешец дньох по запровадз</w:t>
      </w:r>
      <w:r w:rsidR="00D04D64">
        <w:rPr>
          <w:rFonts w:asciiTheme="minorHAnsi" w:hAnsiTheme="minorHAnsi"/>
          <w:bCs/>
          <w:sz w:val="20"/>
          <w:szCs w:val="20"/>
          <w:lang w:val="sr-Cyrl-CS"/>
        </w:rPr>
        <w:t>еней</w:t>
      </w:r>
      <w:bookmarkStart w:id="0" w:name="_GoBack"/>
      <w:bookmarkEnd w:id="0"/>
      <w:r w:rsidRPr="0067228C">
        <w:rPr>
          <w:rFonts w:asciiTheme="minorHAnsi" w:hAnsiTheme="minorHAnsi"/>
          <w:bCs/>
          <w:sz w:val="20"/>
          <w:szCs w:val="20"/>
        </w:rPr>
        <w:t xml:space="preserve"> нащиви.</w:t>
      </w:r>
    </w:p>
    <w:p w14:paraId="69B72817" w14:textId="77777777" w:rsidR="00857520" w:rsidRPr="006420A7" w:rsidRDefault="00857520" w:rsidP="00857520">
      <w:pPr>
        <w:jc w:val="both"/>
        <w:rPr>
          <w:sz w:val="20"/>
          <w:szCs w:val="20"/>
        </w:rPr>
      </w:pPr>
    </w:p>
    <w:p w14:paraId="3289D89E" w14:textId="79E1B1D9" w:rsidR="00857520" w:rsidRPr="006420A7" w:rsidRDefault="00857520" w:rsidP="00A41895">
      <w:pPr>
        <w:pStyle w:val="BodyText"/>
        <w:spacing w:line="230" w:lineRule="auto"/>
        <w:ind w:right="118"/>
        <w:jc w:val="center"/>
        <w:rPr>
          <w:rFonts w:eastAsia="Times New Roman"/>
          <w:sz w:val="20"/>
          <w:szCs w:val="20"/>
        </w:rPr>
      </w:pPr>
      <w:r>
        <w:rPr>
          <w:sz w:val="20"/>
          <w:szCs w:val="20"/>
        </w:rPr>
        <w:t>Член 11.</w:t>
      </w:r>
    </w:p>
    <w:p w14:paraId="6D47EC34" w14:textId="77777777" w:rsidR="009E6661" w:rsidRPr="006420A7" w:rsidRDefault="009E6661" w:rsidP="00857520">
      <w:pPr>
        <w:rPr>
          <w:sz w:val="20"/>
          <w:szCs w:val="20"/>
        </w:rPr>
      </w:pPr>
    </w:p>
    <w:p w14:paraId="7B3D79AD" w14:textId="77777777" w:rsidR="009E6661" w:rsidRPr="00A41895" w:rsidRDefault="00077BF8" w:rsidP="00A41895">
      <w:pPr>
        <w:pStyle w:val="BodyText"/>
        <w:ind w:left="216" w:right="196" w:firstLine="358"/>
        <w:jc w:val="both"/>
        <w:rPr>
          <w:rFonts w:asciiTheme="minorHAnsi" w:hAnsiTheme="minorHAnsi"/>
          <w:bCs/>
          <w:sz w:val="20"/>
          <w:szCs w:val="20"/>
        </w:rPr>
      </w:pPr>
      <w:r w:rsidRPr="00A41895">
        <w:rPr>
          <w:rFonts w:asciiTheme="minorHAnsi" w:hAnsiTheme="minorHAnsi"/>
          <w:bCs/>
          <w:sz w:val="20"/>
          <w:szCs w:val="20"/>
        </w:rPr>
        <w:t>Хаснователь длужен додзелєни средства хасновац наменково и законїто, а нєпотрошени средства врациц до буджету АП Войводини.</w:t>
      </w:r>
    </w:p>
    <w:p w14:paraId="0071EC8B" w14:textId="70752550" w:rsidR="009E6661" w:rsidRPr="00A41895" w:rsidRDefault="00077BF8" w:rsidP="00A41895">
      <w:pPr>
        <w:pStyle w:val="BodyText"/>
        <w:ind w:left="216" w:right="196" w:firstLine="358"/>
        <w:jc w:val="both"/>
        <w:rPr>
          <w:rFonts w:asciiTheme="minorHAnsi" w:hAnsiTheme="minorHAnsi"/>
          <w:bCs/>
          <w:sz w:val="20"/>
          <w:szCs w:val="20"/>
        </w:rPr>
      </w:pPr>
      <w:r w:rsidRPr="00A41895">
        <w:rPr>
          <w:rFonts w:asciiTheme="minorHAnsi" w:hAnsiTheme="minorHAnsi"/>
          <w:bCs/>
          <w:sz w:val="20"/>
          <w:szCs w:val="20"/>
        </w:rPr>
        <w:t>Хаснователь ма обовязку поднєсц звит о хаснованю средствох, найпознєйше у чаше 15 (петнац) дньох по утвердзеним термину за реализацию наменки</w:t>
      </w:r>
      <w:r w:rsidR="00A41895">
        <w:rPr>
          <w:rFonts w:asciiTheme="minorHAnsi" w:hAnsiTheme="minorHAnsi"/>
          <w:bCs/>
          <w:sz w:val="20"/>
          <w:szCs w:val="20"/>
          <w:lang w:val="sr-Cyrl-CS"/>
        </w:rPr>
        <w:t>,</w:t>
      </w:r>
      <w:r w:rsidRPr="00A41895">
        <w:rPr>
          <w:rFonts w:asciiTheme="minorHAnsi" w:hAnsiTheme="minorHAnsi"/>
          <w:bCs/>
          <w:sz w:val="20"/>
          <w:szCs w:val="20"/>
        </w:rPr>
        <w:t xml:space="preserve"> за яку средства додзелєни, зоз припадаюцу документацию хтору оверели одвичательни особи.</w:t>
      </w:r>
    </w:p>
    <w:p w14:paraId="2D8C4C5E" w14:textId="77777777" w:rsidR="009E6661" w:rsidRPr="00A41895" w:rsidRDefault="00077BF8" w:rsidP="00A41895">
      <w:pPr>
        <w:pStyle w:val="BodyText"/>
        <w:ind w:left="216" w:right="196" w:firstLine="358"/>
        <w:jc w:val="both"/>
        <w:rPr>
          <w:rFonts w:asciiTheme="minorHAnsi" w:hAnsiTheme="minorHAnsi"/>
          <w:bCs/>
          <w:sz w:val="20"/>
          <w:szCs w:val="20"/>
        </w:rPr>
      </w:pPr>
      <w:r w:rsidRPr="00A41895">
        <w:rPr>
          <w:rFonts w:asciiTheme="minorHAnsi" w:hAnsiTheme="minorHAnsi"/>
          <w:bCs/>
          <w:sz w:val="20"/>
          <w:szCs w:val="20"/>
        </w:rPr>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14:paraId="7A5A6AA4" w14:textId="77777777" w:rsidR="009E6661" w:rsidRPr="00A41895" w:rsidRDefault="00077BF8" w:rsidP="00A41895">
      <w:pPr>
        <w:pStyle w:val="BodyText"/>
        <w:ind w:left="216" w:right="196" w:firstLine="358"/>
        <w:jc w:val="both"/>
        <w:rPr>
          <w:rFonts w:asciiTheme="minorHAnsi" w:hAnsiTheme="minorHAnsi"/>
          <w:bCs/>
          <w:sz w:val="20"/>
          <w:szCs w:val="20"/>
        </w:rPr>
      </w:pPr>
      <w:r w:rsidRPr="00A41895">
        <w:rPr>
          <w:rFonts w:asciiTheme="minorHAnsi" w:hAnsiTheme="minorHAnsi"/>
          <w:bCs/>
          <w:sz w:val="20"/>
          <w:szCs w:val="20"/>
        </w:rPr>
        <w:t>Кед хаснователь нє доручи звит зоз пасуса 2. того члена, траци право конкуровац за розподзельованє средствох з новима програмами односно проєктами.</w:t>
      </w:r>
    </w:p>
    <w:p w14:paraId="79BA1FA1" w14:textId="77777777" w:rsidR="00077BF8" w:rsidRPr="00A41895" w:rsidRDefault="00077BF8" w:rsidP="00A41895">
      <w:pPr>
        <w:pStyle w:val="BodyText"/>
        <w:ind w:left="216" w:right="196" w:firstLine="358"/>
        <w:jc w:val="both"/>
        <w:rPr>
          <w:rFonts w:asciiTheme="minorHAnsi" w:hAnsiTheme="minorHAnsi"/>
          <w:bCs/>
          <w:sz w:val="20"/>
          <w:szCs w:val="20"/>
        </w:rPr>
      </w:pPr>
      <w:r w:rsidRPr="00A41895">
        <w:rPr>
          <w:rFonts w:asciiTheme="minorHAnsi" w:hAnsiTheme="minorHAnsi"/>
          <w:bCs/>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p>
    <w:p w14:paraId="745C6A6E" w14:textId="77777777" w:rsidR="00857520" w:rsidRPr="00A41895" w:rsidRDefault="00857520" w:rsidP="00A41895">
      <w:pPr>
        <w:pStyle w:val="BodyText"/>
        <w:ind w:left="216" w:right="196" w:firstLine="358"/>
        <w:jc w:val="both"/>
        <w:rPr>
          <w:rFonts w:asciiTheme="minorHAnsi" w:hAnsiTheme="minorHAnsi"/>
          <w:bCs/>
          <w:sz w:val="20"/>
          <w:szCs w:val="20"/>
        </w:rPr>
      </w:pPr>
    </w:p>
    <w:p w14:paraId="186C0369" w14:textId="7753E9EF" w:rsidR="009E6661" w:rsidRPr="00473CA2" w:rsidRDefault="00077BF8" w:rsidP="00A41895">
      <w:pPr>
        <w:pStyle w:val="BodyText"/>
        <w:spacing w:line="230" w:lineRule="auto"/>
        <w:ind w:right="118"/>
        <w:jc w:val="center"/>
        <w:rPr>
          <w:sz w:val="20"/>
          <w:szCs w:val="20"/>
        </w:rPr>
      </w:pPr>
      <w:r>
        <w:rPr>
          <w:sz w:val="20"/>
          <w:szCs w:val="20"/>
        </w:rPr>
        <w:t>Член 12.</w:t>
      </w:r>
    </w:p>
    <w:p w14:paraId="02CB99F5" w14:textId="77777777" w:rsidR="009E6661" w:rsidRPr="00473CA2" w:rsidRDefault="009E6661">
      <w:pPr>
        <w:pStyle w:val="BodyText"/>
        <w:spacing w:before="1"/>
        <w:rPr>
          <w:sz w:val="20"/>
          <w:szCs w:val="20"/>
        </w:rPr>
      </w:pPr>
    </w:p>
    <w:p w14:paraId="57DDF211" w14:textId="53BA00FA" w:rsidR="009E6661" w:rsidRPr="00473CA2" w:rsidRDefault="00077BF8" w:rsidP="00A41895">
      <w:pPr>
        <w:pStyle w:val="BodyText"/>
        <w:ind w:left="216" w:right="196" w:firstLine="358"/>
        <w:jc w:val="both"/>
        <w:rPr>
          <w:sz w:val="20"/>
          <w:szCs w:val="20"/>
        </w:rPr>
      </w:pPr>
      <w:r>
        <w:rPr>
          <w:sz w:val="20"/>
          <w:szCs w:val="20"/>
        </w:rPr>
        <w:t>З</w:t>
      </w:r>
      <w:r w:rsidR="00A41895">
        <w:rPr>
          <w:sz w:val="20"/>
          <w:szCs w:val="20"/>
          <w:lang w:val="sr-Cyrl-CS"/>
        </w:rPr>
        <w:t>оз</w:t>
      </w:r>
      <w:r>
        <w:rPr>
          <w:sz w:val="20"/>
          <w:szCs w:val="20"/>
        </w:rPr>
        <w:t xml:space="preserve"> дньом ступаня на моц того правилнїка престава важиц Правилнїк o додзельованю буджетних средствох Покраїнского секретарияту за образованє, предписаня, управу и национални меншини </w:t>
      </w:r>
      <w:r w:rsidR="00A41895">
        <w:rPr>
          <w:sz w:val="20"/>
          <w:szCs w:val="20"/>
          <w:lang w:val="sr-Cyrl-CS"/>
        </w:rPr>
        <w:t xml:space="preserve">– </w:t>
      </w:r>
      <w:r>
        <w:rPr>
          <w:sz w:val="20"/>
          <w:szCs w:val="20"/>
        </w:rPr>
        <w:t>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(«Службени новини АПВ», число 6/2017).</w:t>
      </w:r>
    </w:p>
    <w:p w14:paraId="789C5A81" w14:textId="77777777" w:rsidR="00857520" w:rsidRPr="00473CA2" w:rsidRDefault="00857520" w:rsidP="00857520">
      <w:pPr>
        <w:pStyle w:val="BodyText"/>
        <w:spacing w:line="230" w:lineRule="auto"/>
        <w:ind w:left="113" w:right="118" w:firstLine="355"/>
        <w:jc w:val="center"/>
        <w:rPr>
          <w:sz w:val="20"/>
          <w:szCs w:val="20"/>
        </w:rPr>
      </w:pPr>
    </w:p>
    <w:p w14:paraId="21490006" w14:textId="3471EAFB" w:rsidR="009E6661" w:rsidRPr="00473CA2" w:rsidRDefault="00857520" w:rsidP="00A41895">
      <w:pPr>
        <w:pStyle w:val="BodyText"/>
        <w:spacing w:line="230" w:lineRule="auto"/>
        <w:ind w:right="118"/>
        <w:jc w:val="center"/>
        <w:rPr>
          <w:sz w:val="20"/>
          <w:szCs w:val="20"/>
        </w:rPr>
      </w:pPr>
      <w:r>
        <w:rPr>
          <w:sz w:val="20"/>
          <w:szCs w:val="20"/>
        </w:rPr>
        <w:t>Член 13.</w:t>
      </w:r>
    </w:p>
    <w:p w14:paraId="0892B515" w14:textId="77777777" w:rsidR="009E6661" w:rsidRPr="00473CA2" w:rsidRDefault="009E6661" w:rsidP="00857520">
      <w:pPr>
        <w:jc w:val="both"/>
        <w:rPr>
          <w:sz w:val="20"/>
          <w:szCs w:val="20"/>
        </w:rPr>
      </w:pPr>
    </w:p>
    <w:p w14:paraId="7F39A45E" w14:textId="05905B77" w:rsidR="009E6661" w:rsidRPr="006420A7" w:rsidRDefault="00077BF8" w:rsidP="00A41895">
      <w:pPr>
        <w:pStyle w:val="BodyText"/>
        <w:ind w:left="216" w:right="196" w:firstLine="358"/>
        <w:jc w:val="both"/>
        <w:rPr>
          <w:sz w:val="20"/>
          <w:szCs w:val="20"/>
        </w:rPr>
      </w:pPr>
      <w:r>
        <w:rPr>
          <w:sz w:val="20"/>
          <w:szCs w:val="20"/>
        </w:rPr>
        <w:t xml:space="preserve">Тот правилнїк ступа на моц по обявйованю у «Службених новинох Автономней покраїни Войводини», а постави ше го и на урядови интернет-бок Покраїнского секретарияту за образованє, предписаня, управу и национални меншини </w:t>
      </w:r>
      <w:r w:rsidR="00DC52AC">
        <w:rPr>
          <w:sz w:val="20"/>
          <w:szCs w:val="20"/>
        </w:rPr>
        <w:t>–</w:t>
      </w:r>
      <w:r>
        <w:rPr>
          <w:sz w:val="20"/>
          <w:szCs w:val="20"/>
        </w:rPr>
        <w:t xml:space="preserve"> национални заєднїци.</w:t>
      </w:r>
    </w:p>
    <w:p w14:paraId="61639DC3" w14:textId="77777777" w:rsidR="009E6661" w:rsidRPr="006420A7" w:rsidRDefault="009E6661" w:rsidP="00857520">
      <w:pPr>
        <w:rPr>
          <w:sz w:val="20"/>
          <w:szCs w:val="20"/>
        </w:rPr>
      </w:pPr>
    </w:p>
    <w:p w14:paraId="5ECD21C7" w14:textId="4955B188" w:rsidR="009E6661" w:rsidRPr="006420A7" w:rsidRDefault="00077BF8" w:rsidP="00077BF8">
      <w:pPr>
        <w:jc w:val="center"/>
        <w:rPr>
          <w:sz w:val="20"/>
          <w:szCs w:val="20"/>
        </w:rPr>
      </w:pPr>
      <w:r>
        <w:rPr>
          <w:sz w:val="20"/>
          <w:szCs w:val="20"/>
        </w:rPr>
        <w:t xml:space="preserve">ПОКРАЇНСКИ СЕКРЕТАРИЯТ ЗА ОБРАЗОВАНЄ, ПРЕДПИСАНЯ, УПРАВУ И НАЦИОНАЛНИ МЕНШИНИ </w:t>
      </w:r>
      <w:r w:rsidR="00DC52AC">
        <w:rPr>
          <w:sz w:val="20"/>
          <w:szCs w:val="20"/>
        </w:rPr>
        <w:t>–</w:t>
      </w:r>
      <w:r>
        <w:rPr>
          <w:sz w:val="20"/>
          <w:szCs w:val="20"/>
        </w:rPr>
        <w:t xml:space="preserve"> НАЦИОНАЛНИ ЗАЄДНЇЦИ</w:t>
      </w:r>
    </w:p>
    <w:p w14:paraId="7E95A72E" w14:textId="77777777" w:rsidR="009E6661" w:rsidRPr="006420A7" w:rsidRDefault="009E6661" w:rsidP="00857520">
      <w:pPr>
        <w:rPr>
          <w:sz w:val="20"/>
          <w:szCs w:val="20"/>
        </w:rPr>
      </w:pPr>
    </w:p>
    <w:p w14:paraId="5E6BB169" w14:textId="77777777" w:rsidR="00077BF8" w:rsidRPr="006420A7" w:rsidRDefault="00077BF8" w:rsidP="00857520">
      <w:pPr>
        <w:rPr>
          <w:sz w:val="20"/>
          <w:szCs w:val="20"/>
        </w:rPr>
      </w:pPr>
      <w:r>
        <w:rPr>
          <w:sz w:val="20"/>
          <w:szCs w:val="20"/>
        </w:rPr>
        <w:t xml:space="preserve">Число: 128-451-109/2023-01 </w:t>
      </w:r>
    </w:p>
    <w:p w14:paraId="186AA88D" w14:textId="00AB1F56" w:rsidR="006420A7" w:rsidRDefault="00077BF8" w:rsidP="006420A7">
      <w:pPr>
        <w:rPr>
          <w:sz w:val="20"/>
          <w:szCs w:val="20"/>
        </w:rPr>
      </w:pPr>
      <w:r>
        <w:rPr>
          <w:sz w:val="20"/>
          <w:szCs w:val="20"/>
        </w:rPr>
        <w:t>Нови Сад, 13.2.2023. року</w:t>
      </w:r>
    </w:p>
    <w:p w14:paraId="327CA3DB" w14:textId="77777777" w:rsidR="00532A58" w:rsidRDefault="00532A58" w:rsidP="006420A7">
      <w:pPr>
        <w:widowControl/>
        <w:autoSpaceDE/>
        <w:autoSpaceDN/>
        <w:jc w:val="both"/>
        <w:rPr>
          <w:sz w:val="20"/>
          <w:szCs w:val="20"/>
        </w:rPr>
      </w:pPr>
    </w:p>
    <w:p w14:paraId="4ED0FB32" w14:textId="21755AAA" w:rsidR="006420A7" w:rsidRPr="006420A7" w:rsidRDefault="006420A7" w:rsidP="00532A58">
      <w:pPr>
        <w:widowControl/>
        <w:autoSpaceDE/>
        <w:autoSpaceDN/>
        <w:ind w:left="6480"/>
        <w:jc w:val="center"/>
        <w:rPr>
          <w:rFonts w:eastAsia="Times New Roman"/>
          <w:sz w:val="20"/>
          <w:szCs w:val="20"/>
        </w:rPr>
      </w:pPr>
      <w:r>
        <w:rPr>
          <w:sz w:val="20"/>
          <w:szCs w:val="20"/>
        </w:rPr>
        <w:t>Покраїнски секретар,</w:t>
      </w:r>
    </w:p>
    <w:p w14:paraId="72A6DCA0" w14:textId="77777777" w:rsidR="00532A58" w:rsidRDefault="00532A58" w:rsidP="00532A58">
      <w:pPr>
        <w:widowControl/>
        <w:tabs>
          <w:tab w:val="center" w:pos="7200"/>
        </w:tabs>
        <w:autoSpaceDE/>
        <w:autoSpaceDN/>
        <w:ind w:left="6480"/>
        <w:jc w:val="center"/>
        <w:rPr>
          <w:sz w:val="20"/>
          <w:szCs w:val="20"/>
        </w:rPr>
      </w:pPr>
    </w:p>
    <w:p w14:paraId="433AE904" w14:textId="0E118CEB" w:rsidR="009E6661" w:rsidRPr="00A41895" w:rsidRDefault="006420A7" w:rsidP="00A41895">
      <w:pPr>
        <w:widowControl/>
        <w:tabs>
          <w:tab w:val="center" w:pos="7200"/>
        </w:tabs>
        <w:autoSpaceDE/>
        <w:autoSpaceDN/>
        <w:ind w:left="6480"/>
        <w:jc w:val="center"/>
        <w:rPr>
          <w:rFonts w:eastAsia="Times New Roman"/>
          <w:sz w:val="20"/>
          <w:szCs w:val="20"/>
        </w:rPr>
      </w:pPr>
      <w:r>
        <w:rPr>
          <w:sz w:val="20"/>
          <w:szCs w:val="20"/>
        </w:rPr>
        <w:t>Жолт Сакалаш</w:t>
      </w:r>
    </w:p>
    <w:sectPr w:rsidR="009E6661" w:rsidRPr="00A41895"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1" w15:restartNumberingAfterBreak="0">
    <w:nsid w:val="4F232C35"/>
    <w:multiLevelType w:val="hybridMultilevel"/>
    <w:tmpl w:val="390A8ABA"/>
    <w:lvl w:ilvl="0" w:tplc="0409000F">
      <w:start w:val="1"/>
      <w:numFmt w:val="decimal"/>
      <w:lvlText w:val="%1."/>
      <w:lvlJc w:val="left"/>
      <w:pPr>
        <w:ind w:left="934" w:hanging="360"/>
      </w:p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42919"/>
    <w:rsid w:val="00077BF8"/>
    <w:rsid w:val="0012255F"/>
    <w:rsid w:val="00151483"/>
    <w:rsid w:val="001D2708"/>
    <w:rsid w:val="002D2469"/>
    <w:rsid w:val="00422898"/>
    <w:rsid w:val="00422E6B"/>
    <w:rsid w:val="00473CA2"/>
    <w:rsid w:val="00532A58"/>
    <w:rsid w:val="005B54CA"/>
    <w:rsid w:val="006052F7"/>
    <w:rsid w:val="006420A7"/>
    <w:rsid w:val="0067228C"/>
    <w:rsid w:val="006E728C"/>
    <w:rsid w:val="006F5F4F"/>
    <w:rsid w:val="00841CDA"/>
    <w:rsid w:val="008553F0"/>
    <w:rsid w:val="00857520"/>
    <w:rsid w:val="008E282A"/>
    <w:rsid w:val="008E6E7F"/>
    <w:rsid w:val="00935AB9"/>
    <w:rsid w:val="00980F48"/>
    <w:rsid w:val="009E6661"/>
    <w:rsid w:val="009F2B0C"/>
    <w:rsid w:val="00A41895"/>
    <w:rsid w:val="00B01F26"/>
    <w:rsid w:val="00D04D64"/>
    <w:rsid w:val="00DC52AC"/>
    <w:rsid w:val="00E209D3"/>
    <w:rsid w:val="00E625F4"/>
    <w:rsid w:val="00F10ECE"/>
    <w:rsid w:val="00F33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1"/>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uk-UA"/>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uk-UA"/>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ED5E1-1B64-4A25-97B7-3FA5522B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Marija Dudas</cp:lastModifiedBy>
  <cp:revision>30</cp:revision>
  <cp:lastPrinted>2023-02-14T13:32:00Z</cp:lastPrinted>
  <dcterms:created xsi:type="dcterms:W3CDTF">2023-02-01T14:35:00Z</dcterms:created>
  <dcterms:modified xsi:type="dcterms:W3CDTF">2023-02-24T13:30:00Z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