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E43122" w:rsidTr="00CD4B32">
        <w:trPr>
          <w:trHeight w:val="1975"/>
        </w:trPr>
        <w:tc>
          <w:tcPr>
            <w:tcW w:w="2410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Republica Serbia</w:t>
            </w:r>
          </w:p>
          <w:p w:rsidR="00D1291A" w:rsidRPr="002E7DEC" w:rsidRDefault="00D1291A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Provincia Autonomă Voivodina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Secretariatul Provincial pentru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Educaţie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>, Reglementări,</w:t>
            </w:r>
          </w:p>
          <w:p w:rsidR="00D1291A" w:rsidRPr="002E7DEC" w:rsidRDefault="00D1291A" w:rsidP="001F5F77">
            <w:pPr>
              <w:rPr>
                <w:rFonts w:ascii="Calibri" w:hAnsi="Calibri"/>
                <w:b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Administraţie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Minorităţile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Naţionale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-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Comunităţile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Naţionale</w:t>
            </w:r>
            <w:proofErr w:type="spellEnd"/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Bulevar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Mihajla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Pupina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16, 21000 Novi Sad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D1291A" w:rsidRPr="00E43122" w:rsidRDefault="00F36ECE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proofErr w:type="spellStart"/>
              <w:r w:rsidR="00A22301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  <w:proofErr w:type="spellEnd"/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BC7B0D" w:rsidTr="00FE0351">
        <w:trPr>
          <w:trHeight w:val="426"/>
        </w:trPr>
        <w:tc>
          <w:tcPr>
            <w:tcW w:w="3402" w:type="dxa"/>
          </w:tcPr>
          <w:p w:rsidR="00D1291A" w:rsidRPr="007C3A30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NUMĂRUL: 128-454-531/2023-04/3</w:t>
            </w:r>
          </w:p>
          <w:p w:rsidR="00D1291A" w:rsidRPr="00946A49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7C3A30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DATA: 22 08.2023</w:t>
            </w:r>
          </w:p>
          <w:p w:rsidR="00D1291A" w:rsidRPr="00D52F1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AD2C28" w:rsidRDefault="00D1291A" w:rsidP="00336DA6">
      <w:pPr>
        <w:pStyle w:val="BlockText"/>
        <w:ind w:left="-567" w:right="-12" w:firstLine="0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În baza art. 15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16 alineatul 1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5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24 alineatul 2 din Hotărârea Adunării Provinciei privind administrația provincială (Buletinul oficial al </w:t>
      </w:r>
      <w:proofErr w:type="spellStart"/>
      <w:r>
        <w:rPr>
          <w:rFonts w:ascii="Calibri" w:hAnsi="Calibri"/>
          <w:sz w:val="22"/>
          <w:szCs w:val="22"/>
        </w:rPr>
        <w:t>P.A.V</w:t>
      </w:r>
      <w:proofErr w:type="spellEnd"/>
      <w:r>
        <w:rPr>
          <w:rFonts w:ascii="Calibri" w:hAnsi="Calibri"/>
          <w:sz w:val="22"/>
          <w:szCs w:val="22"/>
        </w:rPr>
        <w:t xml:space="preserve">.", numărul 37/14, 54/14 ‒ altă reglementare, 37/16, 29/17, 24/19, 66/20 și 38/21), articolului 23 alineatele 1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4 din Hotărârea Adunării Provinciei privind bugetul Provinciei Autonome Voivodina pentru anul 2023 („Buletinul oficial al </w:t>
      </w:r>
      <w:proofErr w:type="spellStart"/>
      <w:r>
        <w:rPr>
          <w:rFonts w:ascii="Calibri" w:hAnsi="Calibri"/>
          <w:sz w:val="22"/>
          <w:szCs w:val="22"/>
        </w:rPr>
        <w:t>P.A.V</w:t>
      </w:r>
      <w:proofErr w:type="spellEnd"/>
      <w:r>
        <w:rPr>
          <w:rFonts w:ascii="Calibri" w:hAnsi="Calibri"/>
          <w:sz w:val="22"/>
          <w:szCs w:val="22"/>
        </w:rPr>
        <w:t xml:space="preserve">.”, numărul 54/22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27/2023-reechilibrare) , articolului 9 din Regulamentului privind repartizarea mijloacelor bugetare ale Secretariatului Provincial pentru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–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modernizării infrastructurii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din domeniul nivelului de trai al elevilor din teritoriul P.A. Voivodina („Buletinul oficial al </w:t>
      </w:r>
      <w:proofErr w:type="spellStart"/>
      <w:r>
        <w:rPr>
          <w:rFonts w:ascii="Calibri" w:hAnsi="Calibri"/>
          <w:sz w:val="22"/>
          <w:szCs w:val="22"/>
        </w:rPr>
        <w:t>PAV</w:t>
      </w:r>
      <w:proofErr w:type="spellEnd"/>
      <w:r>
        <w:rPr>
          <w:rFonts w:ascii="Calibri" w:hAnsi="Calibri"/>
          <w:sz w:val="22"/>
          <w:szCs w:val="22"/>
        </w:rPr>
        <w:t xml:space="preserve">”, nr. 7/23) și în urma realizării Concursului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numărul 128-454-531/2023-04 din 12.07.2023 („Buletinul oficial al </w:t>
      </w:r>
      <w:proofErr w:type="spellStart"/>
      <w:r>
        <w:rPr>
          <w:rFonts w:ascii="Calibri" w:hAnsi="Calibri"/>
          <w:sz w:val="22"/>
          <w:szCs w:val="22"/>
        </w:rPr>
        <w:t>PAV</w:t>
      </w:r>
      <w:proofErr w:type="spellEnd"/>
      <w:r>
        <w:rPr>
          <w:rFonts w:ascii="Calibri" w:hAnsi="Calibri"/>
          <w:sz w:val="22"/>
          <w:szCs w:val="22"/>
        </w:rPr>
        <w:t xml:space="preserve">”, numărul 30/2023) și cu Hotărârea privind completarea concursului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numărul 128-454-531/2023-04 care a fost publicat la 12.07.2023, numărul 128-454-531/2023-04 din 25.07.2023 („Buletinul oficial al </w:t>
      </w:r>
      <w:proofErr w:type="spellStart"/>
      <w:r>
        <w:rPr>
          <w:rFonts w:ascii="Calibri" w:hAnsi="Calibri"/>
          <w:sz w:val="22"/>
          <w:szCs w:val="22"/>
        </w:rPr>
        <w:t>PAV</w:t>
      </w:r>
      <w:proofErr w:type="spellEnd"/>
      <w:r>
        <w:rPr>
          <w:rFonts w:ascii="Calibri" w:hAnsi="Calibri"/>
          <w:sz w:val="22"/>
          <w:szCs w:val="22"/>
        </w:rPr>
        <w:t>”, numărul 32/2023), secretarul provincial emite:</w:t>
      </w:r>
    </w:p>
    <w:p w:rsidR="00D1291A" w:rsidRPr="00C12676" w:rsidRDefault="00D1291A" w:rsidP="00336DA6">
      <w:pPr>
        <w:pStyle w:val="BlockText"/>
        <w:ind w:left="-567" w:right="-12" w:firstLine="0"/>
        <w:rPr>
          <w:rFonts w:ascii="Calibri" w:hAnsi="Calibri" w:cs="Arial"/>
          <w:sz w:val="22"/>
          <w:szCs w:val="22"/>
        </w:rPr>
      </w:pPr>
    </w:p>
    <w:p w:rsidR="00D1291A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DECIZIA</w:t>
      </w:r>
    </w:p>
    <w:p w:rsidR="00E67648" w:rsidRPr="00C1345A" w:rsidRDefault="00D1291A" w:rsidP="00336DA6">
      <w:pPr>
        <w:pStyle w:val="BlockText"/>
        <w:ind w:left="-56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PRIVIND REPARTIZAREA MIJLOACELOR BUGETARE ALE SECRETARIATULUI PROVINCIAL PENTRU </w:t>
      </w:r>
      <w:proofErr w:type="spellStart"/>
      <w:r>
        <w:rPr>
          <w:rFonts w:ascii="Calibri" w:hAnsi="Calibri"/>
          <w:b/>
          <w:sz w:val="22"/>
          <w:szCs w:val="22"/>
        </w:rPr>
        <w:t>EDUCAŢIE</w:t>
      </w:r>
      <w:proofErr w:type="spellEnd"/>
      <w:r>
        <w:rPr>
          <w:rFonts w:ascii="Calibri" w:hAnsi="Calibri"/>
          <w:b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b/>
          <w:sz w:val="22"/>
          <w:szCs w:val="22"/>
        </w:rPr>
        <w:t>ADMINISTRAŢIE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MINORITĂŢILE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NAŢIONALE</w:t>
      </w:r>
      <w:proofErr w:type="spellEnd"/>
      <w:r>
        <w:rPr>
          <w:rFonts w:ascii="Calibri" w:hAnsi="Calibri"/>
          <w:b/>
          <w:sz w:val="22"/>
          <w:szCs w:val="22"/>
        </w:rPr>
        <w:t xml:space="preserve"> – </w:t>
      </w:r>
      <w:proofErr w:type="spellStart"/>
      <w:r>
        <w:rPr>
          <w:rFonts w:ascii="Calibri" w:hAnsi="Calibri"/>
          <w:b/>
          <w:sz w:val="22"/>
          <w:szCs w:val="22"/>
        </w:rPr>
        <w:t>COMUNITĂŢILE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NAŢIONALE</w:t>
      </w:r>
      <w:proofErr w:type="spellEnd"/>
      <w:r>
        <w:rPr>
          <w:rFonts w:ascii="Calibri" w:hAnsi="Calibri"/>
          <w:b/>
          <w:sz w:val="22"/>
          <w:szCs w:val="22"/>
        </w:rPr>
        <w:t xml:space="preserve"> PENTRU </w:t>
      </w:r>
      <w:proofErr w:type="spellStart"/>
      <w:r>
        <w:rPr>
          <w:rFonts w:ascii="Calibri" w:hAnsi="Calibri"/>
          <w:b/>
          <w:sz w:val="22"/>
          <w:szCs w:val="22"/>
        </w:rPr>
        <w:t>FINANŢAREA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COFINANŢAREA</w:t>
      </w:r>
      <w:proofErr w:type="spellEnd"/>
      <w:r>
        <w:rPr>
          <w:rFonts w:ascii="Calibri" w:hAnsi="Calibri"/>
          <w:b/>
          <w:sz w:val="22"/>
          <w:szCs w:val="22"/>
        </w:rPr>
        <w:t xml:space="preserve"> RECONSTRUIRII, ADAPTĂRII, </w:t>
      </w:r>
      <w:r w:rsidR="004521A9">
        <w:rPr>
          <w:rFonts w:ascii="Calibri" w:hAnsi="Calibri"/>
          <w:b/>
          <w:sz w:val="22"/>
          <w:szCs w:val="22"/>
        </w:rPr>
        <w:t>REPARĂRII</w:t>
      </w:r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ÎNTREŢINERII</w:t>
      </w:r>
      <w:proofErr w:type="spellEnd"/>
      <w:r>
        <w:rPr>
          <w:rFonts w:ascii="Calibri" w:hAnsi="Calibri"/>
          <w:b/>
          <w:sz w:val="22"/>
          <w:szCs w:val="22"/>
        </w:rPr>
        <w:t xml:space="preserve"> CURENTE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PRIN </w:t>
      </w:r>
      <w:proofErr w:type="spellStart"/>
      <w:r>
        <w:rPr>
          <w:rFonts w:ascii="Calibri" w:hAnsi="Calibri"/>
          <w:b/>
          <w:sz w:val="22"/>
          <w:szCs w:val="22"/>
        </w:rPr>
        <w:t>INVESTIŢII</w:t>
      </w:r>
      <w:proofErr w:type="spellEnd"/>
      <w:r>
        <w:rPr>
          <w:rFonts w:ascii="Calibri" w:hAnsi="Calibri"/>
          <w:b/>
          <w:sz w:val="22"/>
          <w:szCs w:val="22"/>
        </w:rPr>
        <w:t xml:space="preserve"> A CLĂDIRILOR </w:t>
      </w:r>
      <w:proofErr w:type="spellStart"/>
      <w:r>
        <w:rPr>
          <w:rFonts w:ascii="Calibri" w:hAnsi="Calibri"/>
          <w:b/>
          <w:sz w:val="22"/>
          <w:szCs w:val="22"/>
        </w:rPr>
        <w:t>INSTITUŢIILOR</w:t>
      </w:r>
      <w:proofErr w:type="spellEnd"/>
      <w:r>
        <w:rPr>
          <w:rFonts w:ascii="Calibri" w:hAnsi="Calibri"/>
          <w:b/>
          <w:sz w:val="22"/>
          <w:szCs w:val="22"/>
        </w:rPr>
        <w:t xml:space="preserve"> DE </w:t>
      </w:r>
      <w:proofErr w:type="spellStart"/>
      <w:r>
        <w:rPr>
          <w:rFonts w:ascii="Calibri" w:hAnsi="Calibri"/>
          <w:b/>
          <w:sz w:val="22"/>
          <w:szCs w:val="22"/>
        </w:rPr>
        <w:t>INSTRUCŢIE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EDUCAŢIE</w:t>
      </w:r>
      <w:proofErr w:type="spellEnd"/>
      <w:r>
        <w:rPr>
          <w:rFonts w:ascii="Calibri" w:hAnsi="Calibri"/>
          <w:b/>
          <w:sz w:val="22"/>
          <w:szCs w:val="22"/>
        </w:rPr>
        <w:t xml:space="preserve"> ELEMENTARĂ DIN TERITORIUL PROVINCIEI AUTONOME VOIVODINA PENTRU ANUL 2023 CARE N-AU SUFERIT PAGUBE DREPT C</w:t>
      </w:r>
      <w:r w:rsidR="004521A9">
        <w:rPr>
          <w:rFonts w:ascii="Calibri" w:hAnsi="Calibri"/>
          <w:b/>
          <w:sz w:val="22"/>
          <w:szCs w:val="22"/>
        </w:rPr>
        <w:t>ONSECINȚĂ A EFECTELOR DEZASTRUL</w:t>
      </w:r>
      <w:r>
        <w:rPr>
          <w:rFonts w:ascii="Calibri" w:hAnsi="Calibri"/>
          <w:b/>
          <w:sz w:val="22"/>
          <w:szCs w:val="22"/>
        </w:rPr>
        <w:t>UI METEOROLOGIC</w:t>
      </w:r>
    </w:p>
    <w:p w:rsidR="00D1291A" w:rsidRPr="001D2378" w:rsidRDefault="00D1291A" w:rsidP="00336DA6">
      <w:pPr>
        <w:pStyle w:val="BlockText"/>
        <w:ind w:left="-56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</w:t>
      </w:r>
    </w:p>
    <w:p w:rsidR="00F93FE3" w:rsidRPr="006B0EBE" w:rsidRDefault="00F93FE3" w:rsidP="00336DA6">
      <w:pPr>
        <w:pStyle w:val="BlockText"/>
        <w:ind w:left="-567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prezenta decizie se stabilește repartizarea mijloacelor bugetare ale Secretariatului provincial pentru Educație, Reglementări, </w:t>
      </w:r>
      <w:proofErr w:type="spellStart"/>
      <w:r>
        <w:rPr>
          <w:rFonts w:ascii="Calibri" w:hAnsi="Calibri"/>
          <w:sz w:val="22"/>
          <w:szCs w:val="22"/>
        </w:rPr>
        <w:t>Administraţie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Minorităţile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sz w:val="22"/>
          <w:szCs w:val="22"/>
        </w:rPr>
        <w:t xml:space="preserve"> - </w:t>
      </w:r>
      <w:proofErr w:type="spellStart"/>
      <w:r>
        <w:rPr>
          <w:rFonts w:ascii="Calibri" w:hAnsi="Calibri"/>
          <w:sz w:val="22"/>
          <w:szCs w:val="22"/>
        </w:rPr>
        <w:t>Comunităţile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Naţionale</w:t>
      </w:r>
      <w:proofErr w:type="spellEnd"/>
      <w:r>
        <w:rPr>
          <w:rFonts w:ascii="Calibri" w:hAnsi="Calibri"/>
          <w:b/>
          <w:sz w:val="22"/>
          <w:szCs w:val="22"/>
        </w:rPr>
        <w:t xml:space="preserve">, </w:t>
      </w:r>
      <w:proofErr w:type="spellStart"/>
      <w:r>
        <w:rPr>
          <w:rFonts w:ascii="Calibri" w:hAnsi="Calibri"/>
          <w:b/>
          <w:sz w:val="22"/>
          <w:szCs w:val="22"/>
        </w:rPr>
        <w:t>instituţiilor</w:t>
      </w:r>
      <w:proofErr w:type="spellEnd"/>
      <w:r>
        <w:rPr>
          <w:rFonts w:ascii="Calibri" w:hAnsi="Calibri"/>
          <w:b/>
          <w:sz w:val="22"/>
          <w:szCs w:val="22"/>
        </w:rPr>
        <w:t xml:space="preserve"> de </w:t>
      </w:r>
      <w:proofErr w:type="spellStart"/>
      <w:r>
        <w:rPr>
          <w:rFonts w:ascii="Calibri" w:hAnsi="Calibri"/>
          <w:b/>
          <w:sz w:val="22"/>
          <w:szCs w:val="22"/>
        </w:rPr>
        <w:t>instrucţie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şi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educaţie</w:t>
      </w:r>
      <w:proofErr w:type="spellEnd"/>
      <w:r>
        <w:rPr>
          <w:rFonts w:ascii="Calibri" w:hAnsi="Calibri"/>
          <w:b/>
          <w:sz w:val="22"/>
          <w:szCs w:val="22"/>
        </w:rPr>
        <w:t xml:space="preserve"> elementară</w:t>
      </w:r>
      <w:r>
        <w:rPr>
          <w:rFonts w:ascii="Calibri" w:hAnsi="Calibri"/>
          <w:sz w:val="22"/>
          <w:szCs w:val="22"/>
        </w:rPr>
        <w:t xml:space="preserve"> în conformitate cu Concursul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numărul 128-454-531/2023-04 din 12.07.2023 cu Hotărârea privind completarea concursului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reparării 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medie din teritoriul Provinciei Autonome Voivodina pentru anul 2023 numărul 128-454-531/2023-04 care a fost publicat la 12.07.2023, numărul 128-454-531/2023-04 din 25.07.2023 (în continuare:</w:t>
      </w:r>
      <w:r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Concursul), PENTRU EDIFICIILE INSTITUȚIILOR DE INSTRUCȚIE ȘI </w:t>
      </w:r>
      <w:proofErr w:type="spellStart"/>
      <w:r>
        <w:rPr>
          <w:rFonts w:ascii="Calibri" w:hAnsi="Calibri"/>
          <w:sz w:val="22"/>
          <w:szCs w:val="22"/>
        </w:rPr>
        <w:t>EDUCȚIE</w:t>
      </w:r>
      <w:proofErr w:type="spellEnd"/>
      <w:r>
        <w:rPr>
          <w:rFonts w:ascii="Calibri" w:hAnsi="Calibri"/>
          <w:sz w:val="22"/>
          <w:szCs w:val="22"/>
        </w:rPr>
        <w:t xml:space="preserve"> ELEMENTARĂ CARE N-AU SUFERIT PAGUBE DREPT C</w:t>
      </w:r>
      <w:r w:rsidR="004521A9">
        <w:rPr>
          <w:rFonts w:ascii="Calibri" w:hAnsi="Calibri"/>
          <w:sz w:val="22"/>
          <w:szCs w:val="22"/>
        </w:rPr>
        <w:t>ONSECINȚĂ A EFECTELOR DEZASTRUL</w:t>
      </w:r>
      <w:r>
        <w:rPr>
          <w:rFonts w:ascii="Calibri" w:hAnsi="Calibri"/>
          <w:sz w:val="22"/>
          <w:szCs w:val="22"/>
        </w:rPr>
        <w:t>UI METEOROLOGIC</w:t>
      </w:r>
    </w:p>
    <w:p w:rsidR="00D1291A" w:rsidRPr="00DA299C" w:rsidRDefault="00D1291A" w:rsidP="00336DA6">
      <w:pPr>
        <w:pStyle w:val="BlockText"/>
        <w:ind w:left="-56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DA299C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</w:t>
      </w:r>
    </w:p>
    <w:p w:rsidR="00AD2C28" w:rsidRDefault="00D1291A" w:rsidP="00336DA6">
      <w:pPr>
        <w:ind w:left="-567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Prin concurs au fost destinate la toate nivelurile de </w:t>
      </w:r>
      <w:proofErr w:type="spellStart"/>
      <w:r>
        <w:rPr>
          <w:rFonts w:ascii="Calibri" w:hAnsi="Calibri"/>
          <w:sz w:val="22"/>
          <w:szCs w:val="22"/>
        </w:rPr>
        <w:t>învăţământ</w:t>
      </w:r>
      <w:proofErr w:type="spellEnd"/>
      <w:r>
        <w:rPr>
          <w:rFonts w:ascii="Calibri" w:hAnsi="Calibri"/>
          <w:sz w:val="22"/>
          <w:szCs w:val="22"/>
        </w:rPr>
        <w:t xml:space="preserve"> în total </w:t>
      </w:r>
      <w:r>
        <w:rPr>
          <w:rFonts w:ascii="Calibri" w:hAnsi="Calibri"/>
          <w:b/>
          <w:sz w:val="22"/>
          <w:szCs w:val="22"/>
        </w:rPr>
        <w:t>400.000.000,00 dinari</w:t>
      </w:r>
      <w:r>
        <w:rPr>
          <w:rFonts w:ascii="Calibri" w:hAnsi="Calibri"/>
          <w:sz w:val="22"/>
          <w:szCs w:val="22"/>
        </w:rPr>
        <w:t xml:space="preserve"> în cadrul cărora la nivelul </w:t>
      </w:r>
      <w:proofErr w:type="spellStart"/>
      <w:r>
        <w:rPr>
          <w:rFonts w:ascii="Calibri" w:hAnsi="Calibri"/>
          <w:sz w:val="22"/>
          <w:szCs w:val="22"/>
        </w:rPr>
        <w:t>instrucţiei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educaţiei</w:t>
      </w:r>
      <w:proofErr w:type="spellEnd"/>
      <w:r>
        <w:rPr>
          <w:rFonts w:ascii="Calibri" w:hAnsi="Calibri"/>
          <w:sz w:val="22"/>
          <w:szCs w:val="22"/>
        </w:rPr>
        <w:t xml:space="preserve"> elementare </w:t>
      </w:r>
      <w:r>
        <w:rPr>
          <w:rFonts w:ascii="Calibri" w:hAnsi="Calibri"/>
          <w:b/>
          <w:sz w:val="22"/>
          <w:szCs w:val="22"/>
        </w:rPr>
        <w:t>320.000.000,00 dinari.</w:t>
      </w:r>
      <w:r>
        <w:rPr>
          <w:rFonts w:ascii="Calibri" w:hAnsi="Calibri"/>
          <w:sz w:val="22"/>
          <w:szCs w:val="22"/>
        </w:rPr>
        <w:t xml:space="preserve"> </w:t>
      </w:r>
    </w:p>
    <w:p w:rsidR="00D1291A" w:rsidRPr="00857884" w:rsidRDefault="00816A3D" w:rsidP="00336DA6">
      <w:pPr>
        <w:ind w:left="-567" w:firstLine="56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Prin prezenta decizie se efectuează repartizarea mijloacelor pentru instituțiile de instrucție și educație elementară din teritoriul Provinciei Autonome Voivodina care n-au suferit pagube drept consecință a efectelor dezastrului meteorologic în cuantum total de </w:t>
      </w:r>
      <w:r>
        <w:rPr>
          <w:rFonts w:ascii="Calibri" w:hAnsi="Calibri"/>
          <w:b/>
          <w:sz w:val="22"/>
          <w:szCs w:val="22"/>
        </w:rPr>
        <w:t>169.767.606,00</w:t>
      </w:r>
      <w:r>
        <w:rPr>
          <w:rFonts w:ascii="Calibri" w:hAnsi="Calibri"/>
          <w:sz w:val="22"/>
          <w:szCs w:val="22"/>
        </w:rPr>
        <w:t xml:space="preserve"> dinari.</w:t>
      </w:r>
    </w:p>
    <w:p w:rsidR="0012570E" w:rsidRPr="005224D3" w:rsidRDefault="00AD2C28" w:rsidP="00336DA6">
      <w:pPr>
        <w:ind w:left="-567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Pentru repartizarea mijloacelor pentru nivelul de învățământ elementar conform aceluiași Concurs, pentru clădirile care au suferit pagube ca urmare a efectelor unui dezastru meteorologic, a fost adoptată o decizie specială cu numărul 128-454-531/2023-04/1 din</w:t>
      </w:r>
      <w:r w:rsidR="004521A9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15.08.2023 în cuantum de 150.092.735,00 dinari.  A rămas nerepartizată suma de 139.659,00 dinari.</w:t>
      </w:r>
    </w:p>
    <w:p w:rsidR="00D1291A" w:rsidRPr="00DA299C" w:rsidRDefault="00D1291A" w:rsidP="00336DA6">
      <w:pPr>
        <w:pStyle w:val="BlockText"/>
        <w:ind w:left="-56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Mijloacele se aprobă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(în continuare: Beneficiarii) în conformitate cu tabelul anexat 3. REPARTIZAREA MIJLOACELOR PENTRU </w:t>
      </w:r>
      <w:proofErr w:type="spellStart"/>
      <w:r>
        <w:rPr>
          <w:rFonts w:ascii="Calibri" w:hAnsi="Calibri"/>
          <w:sz w:val="22"/>
          <w:szCs w:val="22"/>
        </w:rPr>
        <w:t>FINANŢAREA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COFINANŢAREA</w:t>
      </w:r>
      <w:proofErr w:type="spellEnd"/>
      <w:r>
        <w:rPr>
          <w:rFonts w:ascii="Calibri" w:hAnsi="Calibri"/>
          <w:sz w:val="22"/>
          <w:szCs w:val="22"/>
        </w:rPr>
        <w:t xml:space="preserve"> RECONSTRUIRII, ADAPTĂRII, </w:t>
      </w:r>
      <w:r w:rsidR="004521A9">
        <w:rPr>
          <w:rFonts w:ascii="Calibri" w:hAnsi="Calibri"/>
          <w:sz w:val="22"/>
          <w:szCs w:val="22"/>
        </w:rPr>
        <w:t xml:space="preserve">REPARĂRII </w:t>
      </w:r>
      <w:r>
        <w:rPr>
          <w:rFonts w:ascii="Calibri" w:hAnsi="Calibri"/>
          <w:sz w:val="22"/>
          <w:szCs w:val="22"/>
        </w:rPr>
        <w:t xml:space="preserve">ȘI ÎNTREȚINERII CURENTE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PRIN INVESTIȚII A CLĂDIRILOR </w:t>
      </w:r>
      <w:proofErr w:type="spellStart"/>
      <w:r>
        <w:rPr>
          <w:rFonts w:ascii="Calibri" w:hAnsi="Calibri"/>
          <w:sz w:val="22"/>
          <w:szCs w:val="22"/>
        </w:rPr>
        <w:t>INSTITUŢIILOR</w:t>
      </w:r>
      <w:proofErr w:type="spellEnd"/>
      <w:r>
        <w:rPr>
          <w:rFonts w:ascii="Calibri" w:hAnsi="Calibri"/>
          <w:sz w:val="22"/>
          <w:szCs w:val="22"/>
        </w:rPr>
        <w:t xml:space="preserve"> DE </w:t>
      </w:r>
      <w:proofErr w:type="spellStart"/>
      <w:r>
        <w:rPr>
          <w:rFonts w:ascii="Calibri" w:hAnsi="Calibri"/>
          <w:sz w:val="22"/>
          <w:szCs w:val="22"/>
        </w:rPr>
        <w:t>INSTRUCŢIE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ŞI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EDUCAŢIE</w:t>
      </w:r>
      <w:proofErr w:type="spellEnd"/>
      <w:r>
        <w:rPr>
          <w:rFonts w:ascii="Calibri" w:hAnsi="Calibri"/>
          <w:sz w:val="22"/>
          <w:szCs w:val="22"/>
        </w:rPr>
        <w:t xml:space="preserve"> ELEMENTARĂ DIN TERITORIUL PROVINCIEI AUTONOME VOIVODINA PENTRU ANUL 2023 CARE N-AU SUFERIT PAGUBE DREPT C</w:t>
      </w:r>
      <w:r w:rsidR="004521A9">
        <w:rPr>
          <w:rFonts w:ascii="Calibri" w:hAnsi="Calibri"/>
          <w:sz w:val="22"/>
          <w:szCs w:val="22"/>
        </w:rPr>
        <w:t>ONSECINȚĂ A EFECTELOR DEZASTRUL</w:t>
      </w:r>
      <w:r>
        <w:rPr>
          <w:rFonts w:ascii="Calibri" w:hAnsi="Calibri"/>
          <w:sz w:val="22"/>
          <w:szCs w:val="22"/>
        </w:rPr>
        <w:t>UI METEOROLOGIC, care este parte integrantă a prezentei decizii.</w:t>
      </w:r>
    </w:p>
    <w:p w:rsidR="00D1291A" w:rsidRPr="00DA299C" w:rsidRDefault="00D1291A" w:rsidP="00336DA6">
      <w:pPr>
        <w:pStyle w:val="BlockText"/>
        <w:ind w:left="-567" w:right="-12" w:firstLine="522"/>
        <w:rPr>
          <w:rFonts w:ascii="Calibri" w:hAnsi="Calibri" w:cs="Arial"/>
          <w:sz w:val="22"/>
          <w:szCs w:val="22"/>
        </w:rPr>
      </w:pPr>
    </w:p>
    <w:p w:rsidR="00D1291A" w:rsidRPr="007210D6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</w:t>
      </w:r>
    </w:p>
    <w:p w:rsidR="00D1291A" w:rsidRPr="00844819" w:rsidRDefault="00D1291A" w:rsidP="00336DA6">
      <w:pPr>
        <w:pStyle w:val="BlockText"/>
        <w:tabs>
          <w:tab w:val="left" w:pos="426"/>
        </w:tabs>
        <w:ind w:left="-567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Mijloacele prevăzute la punctul II alineatul 2 din prezenta decizie sunt stabilite prin Hotărârea Adunării Provinciei privind bugetul Provinciei Autonome Voivodina pentru anul 2023, în cadrul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părţii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speciale Secretariatul Provincial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Educaţie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, Reglementări,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Administraţie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Minorităţile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Naţionale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–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Comunităţile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Naţionale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(în continuare: Secretariatul),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anume: </w:t>
      </w:r>
      <w:r>
        <w:rPr>
          <w:rFonts w:ascii="Calibri" w:hAnsi="Calibri"/>
          <w:b/>
          <w:bCs/>
          <w:color w:val="000000"/>
          <w:sz w:val="22"/>
          <w:szCs w:val="22"/>
        </w:rPr>
        <w:t>44.717.198,00</w:t>
      </w:r>
      <w:r>
        <w:rPr>
          <w:rFonts w:ascii="Calibri" w:hAnsi="Calibri"/>
          <w:bCs/>
          <w:color w:val="000000"/>
          <w:sz w:val="22"/>
          <w:szCs w:val="22"/>
        </w:rPr>
        <w:t xml:space="preserve"> dinari la Programul 2003 – Învățământul elementar, Activitatea de program 1006 – Modernizarea infrastructurii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şcolilor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elementare, clasificarea funcțională 910, clasificarea economică 4631 – Transferuri curente altor niveluri de putere, sursa de finanțare 01 00 – Venituri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încasări generale ale bugetului și </w:t>
      </w:r>
      <w:r>
        <w:rPr>
          <w:rFonts w:ascii="Calibri" w:hAnsi="Calibri"/>
          <w:b/>
          <w:bCs/>
          <w:color w:val="000000"/>
          <w:sz w:val="22"/>
          <w:szCs w:val="22"/>
        </w:rPr>
        <w:t>125.050.408,00</w:t>
      </w:r>
      <w:r>
        <w:rPr>
          <w:rFonts w:ascii="Calibri" w:hAnsi="Calibri"/>
          <w:bCs/>
          <w:color w:val="000000"/>
          <w:sz w:val="22"/>
          <w:szCs w:val="22"/>
        </w:rPr>
        <w:t xml:space="preserve"> dinari la Programul 2003 – Învățământul elementar, Activitatea de program 1006 – Modernizarea infrastructurii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şcolilor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elementare, clasificarea funcțională 910, clasificarea economică 4632 – Transferuri capitale altor niveluri de putere, sursa de finanțare 01 00 – Venituri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încasări generale ale bugetului și se transferă beneficiarilor în conformitate cu afluența mijloacelor în bugetul P.A. Voivodina, respectiv cu posibilitățile de lichiditate ale bugetului.</w:t>
      </w:r>
    </w:p>
    <w:p w:rsidR="00D1291A" w:rsidRPr="00383214" w:rsidRDefault="00D1291A" w:rsidP="00336DA6">
      <w:pPr>
        <w:pStyle w:val="BlockText"/>
        <w:ind w:left="-567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B22C37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</w:t>
      </w:r>
    </w:p>
    <w:p w:rsidR="00D1291A" w:rsidRDefault="00D1291A" w:rsidP="00336DA6">
      <w:pPr>
        <w:pStyle w:val="BlockText"/>
        <w:ind w:left="-567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Beneficiarii au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obligaţia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ca la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lucrărilor să procedeze în conformitate cu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dispoziţiile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Legii privind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publice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actele adoptate în baza legii care reglementează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achiziţiile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publice.</w:t>
      </w:r>
    </w:p>
    <w:p w:rsidR="00D1291A" w:rsidRPr="001F3FC2" w:rsidRDefault="00D1291A" w:rsidP="00336DA6">
      <w:pPr>
        <w:pStyle w:val="BlockText"/>
        <w:ind w:left="-56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</w:t>
      </w:r>
    </w:p>
    <w:p w:rsidR="00D1291A" w:rsidRDefault="00D1291A" w:rsidP="00336DA6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înştiinţa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beneficiarii cu privire la repartizarea mijloacelor stabilită prin prezenta decizie.</w:t>
      </w:r>
    </w:p>
    <w:p w:rsidR="00D1291A" w:rsidRDefault="00D1291A" w:rsidP="00336DA6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8931E3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</w:t>
      </w:r>
    </w:p>
    <w:p w:rsidR="00D1291A" w:rsidRDefault="00D1291A" w:rsidP="00336DA6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Secretariatul va prelua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obligaţia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faţă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de beneficiari </w:t>
      </w:r>
      <w:r>
        <w:rPr>
          <w:rFonts w:ascii="Calibri" w:hAnsi="Calibri"/>
          <w:b/>
          <w:bCs/>
          <w:color w:val="000000"/>
          <w:sz w:val="22"/>
          <w:szCs w:val="22"/>
        </w:rPr>
        <w:t>în baza contractului în scris.</w:t>
      </w:r>
    </w:p>
    <w:p w:rsidR="00D1291A" w:rsidRDefault="00D1291A" w:rsidP="00336DA6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</w:t>
      </w:r>
    </w:p>
    <w:p w:rsidR="00D1291A" w:rsidRPr="008931E3" w:rsidRDefault="00D1291A" w:rsidP="00336DA6">
      <w:pPr>
        <w:pStyle w:val="BlockText"/>
        <w:ind w:left="-56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Prezenta decizie este definitivă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şi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împotriva ei nu se poate depune plângere.</w:t>
      </w:r>
    </w:p>
    <w:p w:rsidR="00D1291A" w:rsidRDefault="00D1291A" w:rsidP="00336DA6">
      <w:pPr>
        <w:pStyle w:val="BlockText"/>
        <w:ind w:left="-56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336DA6">
      <w:pPr>
        <w:pStyle w:val="BlockText"/>
        <w:ind w:left="-56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</w:t>
      </w:r>
    </w:p>
    <w:p w:rsidR="00D1291A" w:rsidRDefault="00D1291A" w:rsidP="00336DA6">
      <w:pPr>
        <w:pStyle w:val="BlockText"/>
        <w:ind w:left="-56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 xml:space="preserve">Pentru executarea prezentei decizii este responsabil Sectorul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activităţi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material–financiare al Secretariatului.</w:t>
      </w:r>
    </w:p>
    <w:p w:rsidR="00D1291A" w:rsidRDefault="00D1291A" w:rsidP="00336DA6">
      <w:pPr>
        <w:pStyle w:val="BlockText"/>
        <w:ind w:left="-56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Decizia se trimite:</w:t>
      </w:r>
    </w:p>
    <w:p w:rsidR="00FE0351" w:rsidRDefault="00D1291A" w:rsidP="00FE0351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Sectorului pentru </w:t>
      </w:r>
      <w:proofErr w:type="spellStart"/>
      <w:r>
        <w:rPr>
          <w:rFonts w:ascii="Calibri" w:hAnsi="Calibri"/>
          <w:bCs/>
          <w:color w:val="000000"/>
          <w:sz w:val="22"/>
          <w:szCs w:val="22"/>
        </w:rPr>
        <w:t>activităţi</w:t>
      </w:r>
      <w:proofErr w:type="spellEnd"/>
      <w:r>
        <w:rPr>
          <w:rFonts w:ascii="Calibri" w:hAnsi="Calibri"/>
          <w:bCs/>
          <w:color w:val="000000"/>
          <w:sz w:val="22"/>
          <w:szCs w:val="22"/>
        </w:rPr>
        <w:t xml:space="preserve"> material-</w:t>
      </w:r>
    </w:p>
    <w:p w:rsidR="00D1291A" w:rsidRDefault="00D1291A" w:rsidP="00FE0351">
      <w:pPr>
        <w:pStyle w:val="BlockText"/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financiare al Secretariatului</w:t>
      </w:r>
    </w:p>
    <w:p w:rsidR="00D1291A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Arhivei</w:t>
      </w:r>
    </w:p>
    <w:p w:rsidR="00FE0351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913DCE" w:rsidTr="00FD7F22">
        <w:tc>
          <w:tcPr>
            <w:tcW w:w="2598" w:type="dxa"/>
            <w:tcBorders>
              <w:bottom w:val="nil"/>
            </w:tcBorders>
          </w:tcPr>
          <w:p w:rsidR="00FD7F22" w:rsidRPr="00913DCE" w:rsidRDefault="00FD7F22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SECRETAR PROVINCIAL</w:t>
            </w:r>
          </w:p>
        </w:tc>
      </w:tr>
      <w:tr w:rsidR="00FD7F22" w:rsidRPr="00913DCE" w:rsidTr="00FD7F22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FD7F22" w:rsidRPr="00913DCE" w:rsidRDefault="00FD7F22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FD7F22" w:rsidRPr="00B37BD4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913DCE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  <w:proofErr w:type="spellStart"/>
            <w:r>
              <w:rPr>
                <w:rFonts w:ascii="Calibri" w:hAnsi="Calibri"/>
                <w:sz w:val="22"/>
                <w:szCs w:val="20"/>
              </w:rPr>
              <w:t>Szakállas</w:t>
            </w:r>
            <w:proofErr w:type="spellEnd"/>
            <w:r>
              <w:rPr>
                <w:rFonts w:ascii="Calibri" w:hAnsi="Calibri"/>
                <w:sz w:val="22"/>
                <w:szCs w:val="20"/>
              </w:rPr>
              <w:t xml:space="preserve"> Zsolt</w:t>
            </w:r>
          </w:p>
          <w:p w:rsidR="00FD7F22" w:rsidRPr="00B37BD4" w:rsidRDefault="00FD7F22" w:rsidP="007251B4">
            <w:pPr>
              <w:jc w:val="center"/>
              <w:rPr>
                <w:rFonts w:ascii="Calibri" w:hAnsi="Calibri" w:cs="Calibri"/>
                <w:szCs w:val="20"/>
              </w:rPr>
            </w:pPr>
            <w:bookmarkStart w:id="0" w:name="_GoBack"/>
            <w:bookmarkEnd w:id="0"/>
          </w:p>
        </w:tc>
      </w:tr>
    </w:tbl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336DA6">
      <w:headerReference w:type="even" r:id="rId9"/>
      <w:headerReference w:type="default" r:id="rId10"/>
      <w:pgSz w:w="12240" w:h="15840"/>
      <w:pgMar w:top="993" w:right="104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ECE" w:rsidRDefault="00F36ECE">
      <w:r>
        <w:separator/>
      </w:r>
    </w:p>
  </w:endnote>
  <w:endnote w:type="continuationSeparator" w:id="0">
    <w:p w:rsidR="00F36ECE" w:rsidRDefault="00F36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ECE" w:rsidRDefault="00F36ECE">
      <w:r>
        <w:separator/>
      </w:r>
    </w:p>
  </w:footnote>
  <w:footnote w:type="continuationSeparator" w:id="0">
    <w:p w:rsidR="00F36ECE" w:rsidRDefault="00F36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 </w:t>
    </w: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2147"/>
    <w:rsid w:val="001948FD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6DA6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521A9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224D3"/>
    <w:rsid w:val="00540176"/>
    <w:rsid w:val="00541125"/>
    <w:rsid w:val="00553800"/>
    <w:rsid w:val="0055754F"/>
    <w:rsid w:val="0055783B"/>
    <w:rsid w:val="005752E4"/>
    <w:rsid w:val="00582C9E"/>
    <w:rsid w:val="0059185A"/>
    <w:rsid w:val="005D479F"/>
    <w:rsid w:val="005E012E"/>
    <w:rsid w:val="005E1631"/>
    <w:rsid w:val="005E3580"/>
    <w:rsid w:val="006001F8"/>
    <w:rsid w:val="00607944"/>
    <w:rsid w:val="00613448"/>
    <w:rsid w:val="0062556E"/>
    <w:rsid w:val="006307C6"/>
    <w:rsid w:val="0064379B"/>
    <w:rsid w:val="00661BB2"/>
    <w:rsid w:val="00662218"/>
    <w:rsid w:val="006625D1"/>
    <w:rsid w:val="006666F4"/>
    <w:rsid w:val="00672DFC"/>
    <w:rsid w:val="00676B1A"/>
    <w:rsid w:val="00680899"/>
    <w:rsid w:val="006964DA"/>
    <w:rsid w:val="00697BAF"/>
    <w:rsid w:val="006B0EBE"/>
    <w:rsid w:val="006E0745"/>
    <w:rsid w:val="006E13F1"/>
    <w:rsid w:val="006F3E67"/>
    <w:rsid w:val="006F58F3"/>
    <w:rsid w:val="006F5950"/>
    <w:rsid w:val="007039DB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509E"/>
    <w:rsid w:val="008576E9"/>
    <w:rsid w:val="00857884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2301"/>
    <w:rsid w:val="00A241E9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14549"/>
    <w:rsid w:val="00D20A1B"/>
    <w:rsid w:val="00D52F16"/>
    <w:rsid w:val="00D5720D"/>
    <w:rsid w:val="00D61DE0"/>
    <w:rsid w:val="00D8197A"/>
    <w:rsid w:val="00DA1D39"/>
    <w:rsid w:val="00DA25FA"/>
    <w:rsid w:val="00DA299C"/>
    <w:rsid w:val="00DC15F2"/>
    <w:rsid w:val="00DC2BA2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F0C6B"/>
    <w:rsid w:val="00EF4D6F"/>
    <w:rsid w:val="00F01428"/>
    <w:rsid w:val="00F10B4F"/>
    <w:rsid w:val="00F11720"/>
    <w:rsid w:val="00F11E37"/>
    <w:rsid w:val="00F3027B"/>
    <w:rsid w:val="00F303AE"/>
    <w:rsid w:val="00F36ECE"/>
    <w:rsid w:val="00F430D3"/>
    <w:rsid w:val="00F565D2"/>
    <w:rsid w:val="00F72B78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668472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o-RO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ro-RO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ro-RO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ro-RO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ro-RO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1066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Vladimir Mitrovic</cp:lastModifiedBy>
  <cp:revision>4</cp:revision>
  <cp:lastPrinted>2023-08-22T07:58:00Z</cp:lastPrinted>
  <dcterms:created xsi:type="dcterms:W3CDTF">2023-08-23T07:35:00Z</dcterms:created>
  <dcterms:modified xsi:type="dcterms:W3CDTF">2023-08-23T08:18:00Z</dcterms:modified>
</cp:coreProperties>
</file>