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3827"/>
        <w:gridCol w:w="5448"/>
      </w:tblGrid>
      <w:tr w:rsidR="00A76DC6" w14:paraId="75A471C9" w14:textId="77777777">
        <w:trPr>
          <w:trHeight w:val="1975"/>
        </w:trPr>
        <w:tc>
          <w:tcPr>
            <w:tcW w:w="2694" w:type="dxa"/>
          </w:tcPr>
          <w:p w14:paraId="4B490A89" w14:textId="77777777" w:rsidR="00A76DC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Srbská republika</w:t>
            </w:r>
          </w:p>
          <w:p w14:paraId="6D74FEC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Autonómna pokrajina Vojvodina</w:t>
            </w:r>
          </w:p>
          <w:p w14:paraId="3C5F7C3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Pokrajinský sekretariát vzdelávania, predpisov,</w:t>
            </w:r>
          </w:p>
          <w:p w14:paraId="362D85D4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správy a národnostných menšín – národnostných spoločenstiev</w:t>
            </w:r>
          </w:p>
          <w:p w14:paraId="0B73D7CE" w14:textId="192E3EFD" w:rsidR="00A76DC6" w:rsidRPr="005A464B" w:rsidRDefault="00155318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Bulvár Mihajla Pupina 16, </w:t>
            </w:r>
            <w:r w:rsidR="003815E3">
              <w:rPr>
                <w:rFonts w:ascii="Calibri" w:hAnsi="Calibri"/>
                <w:sz w:val="20"/>
                <w:szCs w:val="20"/>
              </w:rPr>
              <w:t>21 000 Nový Sad</w:t>
            </w:r>
          </w:p>
          <w:p w14:paraId="762ABFB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42 62, +381 21  487 46 02</w:t>
            </w:r>
          </w:p>
          <w:p w14:paraId="610AC7EB" w14:textId="77777777" w:rsidR="00A76DC6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ounz@vojvodina.gov.rs</w:t>
            </w:r>
          </w:p>
        </w:tc>
      </w:tr>
      <w:tr w:rsidR="00A76DC6" w:rsidRPr="005A464B" w14:paraId="02E817E9" w14:textId="77777777">
        <w:trPr>
          <w:trHeight w:val="305"/>
        </w:trPr>
        <w:tc>
          <w:tcPr>
            <w:tcW w:w="2694" w:type="dxa"/>
          </w:tcPr>
          <w:p w14:paraId="40AE300B" w14:textId="77777777" w:rsidR="00A76DC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27" w:type="dxa"/>
          </w:tcPr>
          <w:p w14:paraId="7575F1E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1BDEAE76" w:rsidR="00A76DC6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ČÍSLO: 128-451-477/2023-01 </w:t>
            </w:r>
          </w:p>
          <w:p w14:paraId="4FDC6EFC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48" w:type="dxa"/>
          </w:tcPr>
          <w:p w14:paraId="569AA033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6AA3616C" w:rsidR="00A76DC6" w:rsidRDefault="003815E3" w:rsidP="0047345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DÁTUM: 19.</w:t>
            </w:r>
            <w:r w:rsidR="00155318">
              <w:rPr>
                <w:rFonts w:ascii="Calibri" w:hAnsi="Calibri"/>
                <w:sz w:val="20"/>
                <w:szCs w:val="20"/>
              </w:rPr>
              <w:t xml:space="preserve"> 04.2023 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576B8603" w14:textId="11F6C719" w:rsidR="00155318" w:rsidRDefault="003815E3">
      <w:pPr>
        <w:jc w:val="both"/>
        <w:rPr>
          <w:rFonts w:ascii="Calibri" w:hAnsi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Podľa</w:t>
      </w:r>
      <w:r w:rsidR="00155318">
        <w:rPr>
          <w:rFonts w:ascii="Calibri" w:hAnsi="Calibri"/>
          <w:sz w:val="20"/>
          <w:szCs w:val="20"/>
        </w:rPr>
        <w:t xml:space="preserve"> článku 15, 16 odsek 5 a </w:t>
      </w:r>
      <w:r>
        <w:rPr>
          <w:rFonts w:ascii="Calibri" w:hAnsi="Calibri"/>
          <w:sz w:val="20"/>
          <w:szCs w:val="20"/>
        </w:rPr>
        <w:t xml:space="preserve">24 odsek 2 Pokrajinského parlamentného uznesenia o pokrajinskej správe (Úradný vestník APV č. 37/14, 54/14 – iné </w:t>
      </w:r>
      <w:r w:rsidR="00155318">
        <w:rPr>
          <w:rFonts w:ascii="Calibri" w:hAnsi="Calibri"/>
          <w:sz w:val="20"/>
          <w:szCs w:val="20"/>
        </w:rPr>
        <w:t>uznesenie, 37/2016, 29/17, 24/19, 66/20 a 38/21), článku 11 a 23 odsek 1</w:t>
      </w:r>
      <w:r>
        <w:rPr>
          <w:rFonts w:ascii="Calibri" w:hAnsi="Calibri"/>
          <w:sz w:val="20"/>
          <w:szCs w:val="20"/>
        </w:rPr>
        <w:t xml:space="preserve"> a 4 Pokrajinského parlamentného uznesenia o rozpočte Autonómnej pokrajiny Vojvodiny  na rok 2023 (Úradný vestník </w:t>
      </w:r>
      <w:r w:rsidR="00155318">
        <w:rPr>
          <w:rFonts w:ascii="Calibri" w:hAnsi="Calibri"/>
          <w:sz w:val="20"/>
          <w:szCs w:val="20"/>
        </w:rPr>
        <w:t>APV č. 54/22), článku 9 Pravidiel</w:t>
      </w:r>
      <w:r>
        <w:rPr>
          <w:rFonts w:ascii="Calibri" w:hAnsi="Calibri"/>
          <w:sz w:val="20"/>
          <w:szCs w:val="20"/>
        </w:rPr>
        <w:t xml:space="preserve"> o podmienkach subvencovania prepravy žiakov stredných škôl v </w:t>
      </w:r>
      <w:r w:rsidR="00155318">
        <w:rPr>
          <w:rFonts w:ascii="Calibri" w:hAnsi="Calibri"/>
          <w:sz w:val="20"/>
          <w:szCs w:val="20"/>
        </w:rPr>
        <w:t xml:space="preserve">Autonómnej pokrajine Vojvodine </w:t>
      </w:r>
      <w:r>
        <w:rPr>
          <w:rFonts w:ascii="Calibri" w:hAnsi="Calibri"/>
          <w:sz w:val="20"/>
          <w:szCs w:val="20"/>
        </w:rPr>
        <w:t>(Úradný vestník APV č. 7/23), а</w:t>
      </w:r>
      <w:r w:rsidR="00155318">
        <w:rPr>
          <w:rFonts w:ascii="Calibri" w:hAnsi="Calibri"/>
          <w:sz w:val="20"/>
          <w:szCs w:val="20"/>
        </w:rPr>
        <w:t xml:space="preserve"> na základe uskutočneného súbehu na subvencovanie prepravy žiakov stredných škôl v Autonómnej pokrajine Vojvodine na rok 2023 (Úradný vestník APV č. 10/23), pokrajinský tajomník vzdelávania, predpisov, správy a národnostných menšín – národnostných spoločenstiev vynáša </w:t>
      </w:r>
    </w:p>
    <w:p w14:paraId="6969AF9F" w14:textId="3690A694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ROZHODNUTIE</w:t>
      </w:r>
    </w:p>
    <w:p w14:paraId="104FEF99" w14:textId="26020931" w:rsidR="00A76DC6" w:rsidRPr="005A464B" w:rsidRDefault="00155318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O ROZVRHNUTÍ </w:t>
      </w:r>
      <w:r w:rsidR="003815E3">
        <w:rPr>
          <w:rFonts w:ascii="Calibri" w:hAnsi="Calibri"/>
          <w:b/>
          <w:sz w:val="20"/>
          <w:szCs w:val="20"/>
        </w:rPr>
        <w:t>ROZPOČTOVÝCH PROSTRIEDKOV POKRAJINSKÉHO SEKRETARIÁTU VZDELÁVANIA, PREDPISOV,</w:t>
      </w:r>
      <w:r>
        <w:rPr>
          <w:rFonts w:ascii="Calibri" w:hAnsi="Calibri"/>
          <w:b/>
          <w:sz w:val="20"/>
          <w:szCs w:val="20"/>
        </w:rPr>
        <w:t xml:space="preserve"> SPRÁVY A NÁRODNOSTNÝCH MENŠÍN –</w:t>
      </w:r>
      <w:r w:rsidR="003815E3">
        <w:rPr>
          <w:rFonts w:ascii="Calibri" w:hAnsi="Calibri"/>
          <w:b/>
          <w:sz w:val="20"/>
          <w:szCs w:val="20"/>
        </w:rPr>
        <w:t xml:space="preserve"> NÁRODNOSTNÝCH SPOLOČENSTIEV NA</w:t>
      </w:r>
      <w:r>
        <w:rPr>
          <w:rFonts w:ascii="Calibri" w:hAnsi="Calibri"/>
          <w:b/>
          <w:sz w:val="20"/>
          <w:szCs w:val="20"/>
        </w:rPr>
        <w:t xml:space="preserve"> SUBVENCOVANIE </w:t>
      </w:r>
      <w:r w:rsidR="003815E3">
        <w:rPr>
          <w:rFonts w:ascii="Calibri" w:hAnsi="Calibri"/>
          <w:b/>
          <w:sz w:val="20"/>
          <w:szCs w:val="20"/>
        </w:rPr>
        <w:t>PREPRAVY ŽIAKOV STREDNÝCH ŠKÔL NA Ú</w:t>
      </w:r>
      <w:r>
        <w:rPr>
          <w:rFonts w:ascii="Calibri" w:hAnsi="Calibri"/>
          <w:b/>
          <w:sz w:val="20"/>
          <w:szCs w:val="20"/>
        </w:rPr>
        <w:t>ZEMÍ AP VOJVODINY NA ROK 2023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3429AE22" w14:textId="4021D8A8" w:rsidR="00977F9A" w:rsidRDefault="00977F9A" w:rsidP="00977F9A">
      <w:pPr>
        <w:jc w:val="center"/>
        <w:rPr>
          <w:rFonts w:ascii="Calibri" w:hAnsi="Calibri"/>
          <w:b/>
          <w:sz w:val="20"/>
          <w:szCs w:val="20"/>
        </w:rPr>
      </w:pPr>
    </w:p>
    <w:p w14:paraId="0412E996" w14:textId="6D817D25" w:rsidR="00A76DC6" w:rsidRPr="00977F9A" w:rsidRDefault="00977F9A" w:rsidP="00977F9A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I.</w:t>
      </w:r>
    </w:p>
    <w:p w14:paraId="7A59644C" w14:textId="08C6BBBB" w:rsidR="00155318" w:rsidRDefault="00155318">
      <w:pPr>
        <w:jc w:val="both"/>
        <w:rPr>
          <w:rFonts w:ascii="Calibri" w:hAnsi="Calibri"/>
          <w:sz w:val="20"/>
          <w:szCs w:val="20"/>
        </w:rPr>
      </w:pPr>
    </w:p>
    <w:p w14:paraId="4B1C98AD" w14:textId="7792C54C" w:rsidR="00155318" w:rsidRPr="00977F9A" w:rsidRDefault="00155318" w:rsidP="00155318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Tý</w:t>
      </w:r>
      <w:r w:rsidR="00977F9A">
        <w:rPr>
          <w:rFonts w:ascii="Calibri" w:hAnsi="Calibri"/>
          <w:sz w:val="20"/>
          <w:szCs w:val="20"/>
        </w:rPr>
        <w:t>mto rozhodnutím sa stanovuje</w:t>
      </w:r>
      <w:r>
        <w:rPr>
          <w:rFonts w:ascii="Calibri" w:hAnsi="Calibri"/>
          <w:sz w:val="20"/>
          <w:szCs w:val="20"/>
        </w:rPr>
        <w:t xml:space="preserve"> rozvrhnutie prostriedkov na </w:t>
      </w:r>
      <w:r w:rsidRPr="00977F9A">
        <w:rPr>
          <w:rFonts w:ascii="Calibri" w:hAnsi="Calibri"/>
          <w:b/>
          <w:sz w:val="20"/>
          <w:szCs w:val="20"/>
        </w:rPr>
        <w:t>subvencovanie prepravy žiakov stredných škôl v Autonómnej pokrajine Vojvodine v roku 2023</w:t>
      </w:r>
      <w:r>
        <w:rPr>
          <w:rFonts w:ascii="Calibri" w:hAnsi="Calibri"/>
          <w:sz w:val="20"/>
          <w:szCs w:val="20"/>
        </w:rPr>
        <w:t xml:space="preserve"> na základe </w:t>
      </w:r>
      <w:r w:rsidRPr="00977F9A">
        <w:rPr>
          <w:rFonts w:ascii="Calibri" w:hAnsi="Calibri"/>
          <w:i/>
          <w:sz w:val="20"/>
          <w:szCs w:val="20"/>
        </w:rPr>
        <w:t xml:space="preserve">Súbehu na subvencovanie prepravy žiakov stredných škôl na území AP Vojvodiny na rok 2023 číslo: </w:t>
      </w:r>
      <w:r w:rsidR="00977F9A" w:rsidRPr="00977F9A">
        <w:rPr>
          <w:rFonts w:ascii="Calibri" w:hAnsi="Calibri"/>
          <w:i/>
          <w:sz w:val="20"/>
          <w:szCs w:val="20"/>
        </w:rPr>
        <w:t>128-451-477/2023-01 od 1. 3. 2023</w:t>
      </w:r>
      <w:r w:rsidR="00977F9A">
        <w:rPr>
          <w:rFonts w:ascii="Calibri" w:hAnsi="Calibri"/>
          <w:i/>
          <w:sz w:val="20"/>
          <w:szCs w:val="20"/>
        </w:rPr>
        <w:t xml:space="preserve"> </w:t>
      </w:r>
      <w:r w:rsidR="00977F9A">
        <w:rPr>
          <w:rFonts w:ascii="Calibri" w:hAnsi="Calibri"/>
          <w:sz w:val="20"/>
          <w:szCs w:val="20"/>
        </w:rPr>
        <w:t xml:space="preserve">(ďalej: súbeh). </w:t>
      </w:r>
    </w:p>
    <w:p w14:paraId="6497D6A3" w14:textId="663B6138" w:rsidR="00A76DC6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F0D9809" w14:textId="77777777" w:rsidR="00977F9A" w:rsidRPr="0073586B" w:rsidRDefault="00977F9A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II. </w:t>
      </w:r>
    </w:p>
    <w:p w14:paraId="2DD901ED" w14:textId="38FF2F8F" w:rsidR="00977F9A" w:rsidRDefault="003815E3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Z plánovan</w:t>
      </w:r>
      <w:r w:rsidR="00977F9A">
        <w:rPr>
          <w:rFonts w:ascii="Calibri" w:hAnsi="Calibri"/>
          <w:sz w:val="20"/>
          <w:szCs w:val="20"/>
        </w:rPr>
        <w:t>ých prostriedkov na subvencovanie</w:t>
      </w:r>
      <w:r>
        <w:rPr>
          <w:rFonts w:ascii="Calibri" w:hAnsi="Calibri"/>
          <w:sz w:val="20"/>
          <w:szCs w:val="20"/>
        </w:rPr>
        <w:t xml:space="preserve"> prepravy </w:t>
      </w:r>
      <w:r w:rsidR="00977F9A">
        <w:rPr>
          <w:rFonts w:ascii="Calibri" w:hAnsi="Calibri"/>
          <w:sz w:val="20"/>
          <w:szCs w:val="20"/>
        </w:rPr>
        <w:t>žiakov stredných škôl na rok 2023, ktoré boli súbehom</w:t>
      </w:r>
      <w:r>
        <w:rPr>
          <w:rFonts w:ascii="Calibri" w:hAnsi="Calibri"/>
          <w:sz w:val="20"/>
          <w:szCs w:val="20"/>
        </w:rPr>
        <w:t xml:space="preserve"> vypísané vo sume 151 000 000,00 dinárov, týmto rozhodn</w:t>
      </w:r>
      <w:r w:rsidR="00977F9A">
        <w:rPr>
          <w:rFonts w:ascii="Calibri" w:hAnsi="Calibri"/>
          <w:sz w:val="20"/>
          <w:szCs w:val="20"/>
        </w:rPr>
        <w:t>utím sa rozvrhuje celá suma pre 44 obce, respektíve mestá</w:t>
      </w:r>
      <w:r>
        <w:rPr>
          <w:rFonts w:ascii="Calibri" w:hAnsi="Calibri"/>
          <w:sz w:val="20"/>
          <w:szCs w:val="20"/>
        </w:rPr>
        <w:t xml:space="preserve"> v AP Vojvodine, ktoré podali prihlášky na súbeh. </w:t>
      </w:r>
      <w:r w:rsidR="00977F9A">
        <w:rPr>
          <w:rFonts w:ascii="Calibri" w:hAnsi="Calibri"/>
          <w:sz w:val="20"/>
          <w:szCs w:val="20"/>
        </w:rPr>
        <w:t xml:space="preserve">Výška prostriedkov na obce a mestá je určená na základe kritérií stanovených Pravidlami o podmienkach subvencovania prepravy žiakov stredných škôl v AP Vojvodine. </w:t>
      </w:r>
    </w:p>
    <w:p w14:paraId="0DF97462" w14:textId="603F8729" w:rsidR="00A76DC6" w:rsidRDefault="003815E3" w:rsidP="00977F9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00310C23" w14:textId="77777777" w:rsidR="00977F9A" w:rsidRPr="005A464B" w:rsidRDefault="00977F9A" w:rsidP="00977F9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5F28C40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bCs/>
          <w:color w:val="000000"/>
          <w:sz w:val="20"/>
          <w:szCs w:val="20"/>
        </w:rPr>
        <w:t>III.</w:t>
      </w:r>
    </w:p>
    <w:p w14:paraId="34FB3304" w14:textId="5C6E8219" w:rsidR="00A76DC6" w:rsidRPr="005A464B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 w:rsidR="00977F9A">
        <w:rPr>
          <w:rFonts w:ascii="Calibri" w:hAnsi="Calibri"/>
          <w:sz w:val="20"/>
          <w:szCs w:val="20"/>
        </w:rPr>
        <w:t>Rozvrhnutie</w:t>
      </w:r>
      <w:r>
        <w:rPr>
          <w:rFonts w:ascii="Calibri" w:hAnsi="Calibri"/>
          <w:sz w:val="20"/>
          <w:szCs w:val="20"/>
        </w:rPr>
        <w:t xml:space="preserve"> prostriedkov z b</w:t>
      </w:r>
      <w:r w:rsidR="00977F9A">
        <w:rPr>
          <w:rFonts w:ascii="Calibri" w:hAnsi="Calibri"/>
          <w:sz w:val="20"/>
          <w:szCs w:val="20"/>
        </w:rPr>
        <w:t>odu II. tohto rozhodnutia obciam a mestám</w:t>
      </w:r>
      <w:r>
        <w:rPr>
          <w:rFonts w:ascii="Calibri" w:hAnsi="Calibri"/>
          <w:sz w:val="20"/>
          <w:szCs w:val="20"/>
        </w:rPr>
        <w:t xml:space="preserve"> v AP Vojvodine je uvedené v prílohe vytlačenej s týmto rozhodnutím a tvorí jeho </w:t>
      </w:r>
      <w:r w:rsidR="00977F9A">
        <w:rPr>
          <w:rFonts w:ascii="Calibri" w:hAnsi="Calibri"/>
          <w:sz w:val="20"/>
          <w:szCs w:val="20"/>
        </w:rPr>
        <w:t>neoddeliteľnú súčasť (Ro</w:t>
      </w:r>
      <w:r w:rsidR="00F72A17">
        <w:rPr>
          <w:rFonts w:ascii="Calibri" w:hAnsi="Calibri"/>
          <w:sz w:val="20"/>
          <w:szCs w:val="20"/>
        </w:rPr>
        <w:t>z</w:t>
      </w:r>
      <w:r w:rsidR="00977F9A">
        <w:rPr>
          <w:rFonts w:ascii="Calibri" w:hAnsi="Calibri"/>
          <w:sz w:val="20"/>
          <w:szCs w:val="20"/>
        </w:rPr>
        <w:t>vrhnutie</w:t>
      </w:r>
      <w:r w:rsidR="00F72A17">
        <w:rPr>
          <w:rFonts w:ascii="Calibri" w:hAnsi="Calibri"/>
          <w:sz w:val="20"/>
          <w:szCs w:val="20"/>
        </w:rPr>
        <w:t xml:space="preserve"> prostriedkov na subvencovanie prepravy žiakov stredných škôl na území AP Vojvodiny na rok 2023 – Tabuľka číslo</w:t>
      </w:r>
      <w:r w:rsidR="004D2FCE">
        <w:rPr>
          <w:rFonts w:ascii="Calibri" w:hAnsi="Calibri"/>
          <w:sz w:val="20"/>
          <w:szCs w:val="20"/>
        </w:rPr>
        <w:t xml:space="preserve"> 2</w:t>
      </w:r>
      <w:r>
        <w:rPr>
          <w:rFonts w:ascii="Calibri" w:hAnsi="Calibri"/>
          <w:sz w:val="20"/>
          <w:szCs w:val="20"/>
        </w:rPr>
        <w:t>).</w:t>
      </w:r>
    </w:p>
    <w:p w14:paraId="23E0EA09" w14:textId="77777777" w:rsidR="00BB0DB1" w:rsidRPr="005A464B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67F1CFC" w14:textId="77777777" w:rsidR="00A76DC6" w:rsidRPr="005A464B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BA6F6FE" w14:textId="77777777" w:rsidR="00977F9A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</w:t>
      </w:r>
    </w:p>
    <w:p w14:paraId="6296FE4E" w14:textId="77777777" w:rsidR="00977F9A" w:rsidRDefault="00977F9A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hAnsi="Calibri"/>
          <w:b/>
          <w:sz w:val="20"/>
          <w:szCs w:val="20"/>
        </w:rPr>
      </w:pPr>
    </w:p>
    <w:p w14:paraId="5587AE7C" w14:textId="7ACD677F" w:rsidR="00A76DC6" w:rsidRPr="005A464B" w:rsidRDefault="003815E3" w:rsidP="00F72A17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IV.</w:t>
      </w:r>
    </w:p>
    <w:p w14:paraId="483E43DB" w14:textId="58790D7B" w:rsidR="00A76DC6" w:rsidRPr="004D2FCE" w:rsidRDefault="003815E3" w:rsidP="004D2FCE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>Prostriedky z bodu II. tohto rozhodnutia sú určené Pokrajinským parlamentným uznesením o rozpočte Autonómnej pokrajiny Vojvodiny  na rok 2023 (Úradný vestník APV č. 54/22)</w:t>
      </w:r>
      <w:r w:rsidR="00F72A17">
        <w:rPr>
          <w:rFonts w:ascii="Calibri" w:hAnsi="Calibri"/>
          <w:sz w:val="20"/>
          <w:szCs w:val="20"/>
        </w:rPr>
        <w:t xml:space="preserve"> v rámci Oddielu 06 – Pokrajinský sekretariát vzdelávania, predpisov, správy a národnostných menšín – národnostných spoločenstiev, </w:t>
      </w:r>
      <w:r w:rsidR="00F9583D">
        <w:rPr>
          <w:rFonts w:ascii="Calibri" w:hAnsi="Calibri"/>
          <w:sz w:val="20"/>
          <w:szCs w:val="20"/>
        </w:rPr>
        <w:t xml:space="preserve">Program 2007 – Podpora vo vzdelávaní žiakov a študentov, Programová aktivita 1005 – Subvencovanie prepravy žiakov stredných škôl, funkčná klasifikácia 960 – Pomocné služby vzdelávaniu, ekonomická klasifikácia 463 – Transfery iným úrovniam moci, 4631 – Bežné transfery iným úrovniam moci, subanalytické konto </w:t>
      </w:r>
      <w:r w:rsidR="00F9583D">
        <w:rPr>
          <w:rFonts w:ascii="Calibri" w:hAnsi="Calibri"/>
          <w:sz w:val="20"/>
          <w:szCs w:val="20"/>
        </w:rPr>
        <w:t>463132 –</w:t>
      </w:r>
      <w:r w:rsidR="00F9583D">
        <w:rPr>
          <w:rFonts w:ascii="Calibri" w:hAnsi="Calibri"/>
          <w:sz w:val="20"/>
          <w:szCs w:val="20"/>
        </w:rPr>
        <w:t xml:space="preserve"> Účelové transfery úrovni miest a </w:t>
      </w:r>
      <w:r w:rsidR="00F9583D">
        <w:rPr>
          <w:rFonts w:ascii="Calibri" w:hAnsi="Calibri"/>
          <w:sz w:val="20"/>
          <w:szCs w:val="20"/>
        </w:rPr>
        <w:t>463142 –</w:t>
      </w:r>
      <w:r w:rsidR="00F9583D">
        <w:rPr>
          <w:rFonts w:ascii="Calibri" w:hAnsi="Calibri"/>
          <w:sz w:val="20"/>
          <w:szCs w:val="20"/>
        </w:rPr>
        <w:t xml:space="preserve"> Ú</w:t>
      </w:r>
      <w:r w:rsidR="004D2FCE">
        <w:rPr>
          <w:rFonts w:ascii="Calibri" w:hAnsi="Calibri"/>
          <w:sz w:val="20"/>
          <w:szCs w:val="20"/>
        </w:rPr>
        <w:t>čelové transfery ú</w:t>
      </w:r>
      <w:bookmarkStart w:id="0" w:name="_GoBack"/>
      <w:bookmarkEnd w:id="0"/>
      <w:r w:rsidR="00F9583D">
        <w:rPr>
          <w:rFonts w:ascii="Calibri" w:hAnsi="Calibri"/>
          <w:sz w:val="20"/>
          <w:szCs w:val="20"/>
        </w:rPr>
        <w:t xml:space="preserve">rovni obcí, zdroj financovania </w:t>
      </w:r>
      <w:r w:rsidR="00F9583D">
        <w:rPr>
          <w:rFonts w:ascii="Calibri" w:hAnsi="Calibri"/>
          <w:sz w:val="20"/>
          <w:szCs w:val="20"/>
        </w:rPr>
        <w:t>01 00 –</w:t>
      </w:r>
      <w:r w:rsidR="00F9583D">
        <w:rPr>
          <w:rFonts w:ascii="Calibri" w:hAnsi="Calibri"/>
          <w:sz w:val="20"/>
          <w:szCs w:val="20"/>
        </w:rPr>
        <w:t xml:space="preserve"> Všeobecné príjmy a výnosy rozpočtu a prenášajú sa užívateľom v súlade s prílevom prostriedkov  do rozpočtu AP Vojvodiny, resp. s likvidnými možnosťami rozpočtu. </w:t>
      </w:r>
      <w:r>
        <w:rPr>
          <w:rFonts w:ascii="Calibri" w:hAnsi="Calibri"/>
          <w:b/>
          <w:color w:val="FF0000"/>
          <w:sz w:val="20"/>
          <w:szCs w:val="20"/>
        </w:rPr>
        <w:t xml:space="preserve">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</w:t>
      </w: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V.</w:t>
      </w:r>
    </w:p>
    <w:p w14:paraId="40D8463F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Sekretariát informuje obce a mestá o rozdelení finančných prostriedkov určených týmto rozhodnutím.</w:t>
      </w:r>
    </w:p>
    <w:p w14:paraId="440BAB8A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VI.</w:t>
      </w:r>
    </w:p>
    <w:p w14:paraId="0EC71C29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Sekretariát preberá záväzok voči obciam a mestám na </w:t>
      </w:r>
      <w:r w:rsidRPr="004D2FCE">
        <w:rPr>
          <w:rFonts w:ascii="Calibri" w:hAnsi="Calibri"/>
          <w:b/>
          <w:color w:val="000000"/>
          <w:sz w:val="20"/>
          <w:szCs w:val="20"/>
        </w:rPr>
        <w:t>základe písomnej zmluvy</w:t>
      </w:r>
      <w:r>
        <w:rPr>
          <w:rFonts w:ascii="Calibri" w:hAnsi="Calibri"/>
          <w:color w:val="000000"/>
          <w:sz w:val="20"/>
          <w:szCs w:val="20"/>
        </w:rPr>
        <w:t>.</w:t>
      </w:r>
      <w:r>
        <w:rPr>
          <w:rFonts w:ascii="Calibri" w:hAnsi="Calibri"/>
          <w:b/>
          <w:color w:val="000000"/>
          <w:sz w:val="20"/>
          <w:szCs w:val="20"/>
        </w:rPr>
        <w:t xml:space="preserve"> </w:t>
      </w:r>
    </w:p>
    <w:p w14:paraId="0790038D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2466E8C3" w14:textId="77777777" w:rsidR="004D2FCE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3AE4E39B" w14:textId="0A870A29" w:rsidR="00A76DC6" w:rsidRPr="005A464B" w:rsidRDefault="004D2FCE" w:rsidP="004D2FCE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</w:t>
      </w:r>
      <w:r w:rsidR="003815E3">
        <w:rPr>
          <w:rFonts w:ascii="Calibri" w:hAnsi="Calibri"/>
          <w:b/>
          <w:color w:val="000000"/>
          <w:sz w:val="20"/>
          <w:szCs w:val="20"/>
        </w:rPr>
        <w:t>VII.</w:t>
      </w:r>
    </w:p>
    <w:p w14:paraId="79FC91AA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Toto rozhodnutie je konečné a nemožno proti nemu podať opravný prostriedok.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64EE4CB6" w14:textId="77777777" w:rsidR="004D2FCE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1920D846" w14:textId="6512F7D1" w:rsidR="00A76DC6" w:rsidRPr="005A464B" w:rsidRDefault="003815E3" w:rsidP="004D2FCE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>VIII.</w:t>
      </w:r>
    </w:p>
    <w:p w14:paraId="1C15C4D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Za výkon tohto rozhodnutia je zodpovedný Sektor materiálnych a finančných úkonov sekretariátu.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Rozhodnutie doručiť: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5A464B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Sektoru pre hmotno-finančné úkony sekretariátu</w:t>
      </w:r>
    </w:p>
    <w:p w14:paraId="2E3650BD" w14:textId="77777777" w:rsidR="00A76DC6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Archívu  </w:t>
      </w:r>
    </w:p>
    <w:p w14:paraId="74C42EEF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39CCC1A" w14:textId="77777777" w:rsidR="00A76DC6" w:rsidRDefault="003815E3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POKRAJINSKÝ TAJOMNÍK</w:t>
      </w:r>
    </w:p>
    <w:p w14:paraId="614EED7D" w14:textId="77777777" w:rsidR="00A76DC6" w:rsidRDefault="00A76DC6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2BF9D1EB" w14:textId="77777777" w:rsidR="00A76DC6" w:rsidRPr="00655172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Zsolt Szakállas</w:t>
      </w:r>
    </w:p>
    <w:p w14:paraId="29F6E15D" w14:textId="60B11A34" w:rsidR="00A76DC6" w:rsidRPr="00655172" w:rsidRDefault="00A76DC6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2353A" w14:textId="77777777" w:rsidR="00F02249" w:rsidRDefault="00F02249">
      <w:r>
        <w:separator/>
      </w:r>
    </w:p>
  </w:endnote>
  <w:endnote w:type="continuationSeparator" w:id="0">
    <w:p w14:paraId="1A860E59" w14:textId="77777777" w:rsidR="00F02249" w:rsidRDefault="00F0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760DF" w14:textId="77777777" w:rsidR="00F02249" w:rsidRDefault="00F02249">
      <w:r>
        <w:separator/>
      </w:r>
    </w:p>
  </w:footnote>
  <w:footnote w:type="continuationSeparator" w:id="0">
    <w:p w14:paraId="41E96E9D" w14:textId="77777777" w:rsidR="00F02249" w:rsidRDefault="00F02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3DC06B6F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D2FCE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5B07"/>
    <w:rsid w:val="00032C8D"/>
    <w:rsid w:val="00086329"/>
    <w:rsid w:val="00155318"/>
    <w:rsid w:val="00192A7D"/>
    <w:rsid w:val="001A6C23"/>
    <w:rsid w:val="001D7AC1"/>
    <w:rsid w:val="001F437B"/>
    <w:rsid w:val="003138EB"/>
    <w:rsid w:val="0037080D"/>
    <w:rsid w:val="003815E3"/>
    <w:rsid w:val="00391E98"/>
    <w:rsid w:val="0045756D"/>
    <w:rsid w:val="004578BB"/>
    <w:rsid w:val="00466F13"/>
    <w:rsid w:val="00473451"/>
    <w:rsid w:val="004D2FCE"/>
    <w:rsid w:val="00547E75"/>
    <w:rsid w:val="005A464B"/>
    <w:rsid w:val="005C5305"/>
    <w:rsid w:val="00630048"/>
    <w:rsid w:val="00651851"/>
    <w:rsid w:val="00655172"/>
    <w:rsid w:val="00657F79"/>
    <w:rsid w:val="006C3C5C"/>
    <w:rsid w:val="006E46F2"/>
    <w:rsid w:val="006F3D68"/>
    <w:rsid w:val="0072741A"/>
    <w:rsid w:val="0073586B"/>
    <w:rsid w:val="00786DC0"/>
    <w:rsid w:val="007A37F9"/>
    <w:rsid w:val="007C6FED"/>
    <w:rsid w:val="007F7AC2"/>
    <w:rsid w:val="00821BF5"/>
    <w:rsid w:val="00830130"/>
    <w:rsid w:val="00886EB3"/>
    <w:rsid w:val="008971A2"/>
    <w:rsid w:val="008B0146"/>
    <w:rsid w:val="009200E3"/>
    <w:rsid w:val="009311D2"/>
    <w:rsid w:val="00977F9A"/>
    <w:rsid w:val="009D1DB4"/>
    <w:rsid w:val="009F182D"/>
    <w:rsid w:val="00A378FA"/>
    <w:rsid w:val="00A5507D"/>
    <w:rsid w:val="00A76DC6"/>
    <w:rsid w:val="00A92818"/>
    <w:rsid w:val="00AF73AB"/>
    <w:rsid w:val="00BB0DB1"/>
    <w:rsid w:val="00BD3715"/>
    <w:rsid w:val="00C5137F"/>
    <w:rsid w:val="00D23B28"/>
    <w:rsid w:val="00DA4207"/>
    <w:rsid w:val="00E34295"/>
    <w:rsid w:val="00E505A9"/>
    <w:rsid w:val="00E9089A"/>
    <w:rsid w:val="00EF663D"/>
    <w:rsid w:val="00F0125F"/>
    <w:rsid w:val="00F02249"/>
    <w:rsid w:val="00F72A17"/>
    <w:rsid w:val="00F8579E"/>
    <w:rsid w:val="00F9583D"/>
    <w:rsid w:val="00FC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Martina</cp:lastModifiedBy>
  <cp:revision>38</cp:revision>
  <dcterms:created xsi:type="dcterms:W3CDTF">2020-03-28T16:16:00Z</dcterms:created>
  <dcterms:modified xsi:type="dcterms:W3CDTF">2023-04-26T08:33:00Z</dcterms:modified>
</cp:coreProperties>
</file>