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3438"/>
        <w:gridCol w:w="5444"/>
      </w:tblGrid>
      <w:tr w:rsidR="008258C1" w:rsidRPr="00C46935" w:rsidTr="00C46935">
        <w:trPr>
          <w:trHeight w:val="1975"/>
        </w:trPr>
        <w:tc>
          <w:tcPr>
            <w:tcW w:w="2550" w:type="dxa"/>
            <w:gridSpan w:val="2"/>
            <w:hideMark/>
          </w:tcPr>
          <w:p w:rsidR="00177144" w:rsidRPr="00C46935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C46935">
              <w:rPr>
                <w:rFonts w:ascii="Verdana" w:hAnsi="Verdana"/>
                <w:noProof/>
                <w:color w:val="000000" w:themeColor="text1"/>
                <w:lang w:val="en-US"/>
              </w:rPr>
              <w:drawing>
                <wp:inline distT="0" distB="0" distL="0" distR="0" wp14:anchorId="5BD8BA48" wp14:editId="246F4C53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2" w:type="dxa"/>
            <w:gridSpan w:val="2"/>
          </w:tcPr>
          <w:p w:rsidR="00177144" w:rsidRPr="00C46935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color w:val="000000" w:themeColor="text1"/>
                <w:sz w:val="16"/>
                <w:szCs w:val="16"/>
              </w:rPr>
            </w:pPr>
          </w:p>
          <w:p w:rsidR="00177144" w:rsidRPr="00C46935" w:rsidRDefault="008258C1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46935">
              <w:rPr>
                <w:rFonts w:ascii="Verdana" w:hAnsi="Verdana"/>
                <w:color w:val="000000" w:themeColor="text1"/>
                <w:sz w:val="16"/>
                <w:szCs w:val="16"/>
              </w:rPr>
              <w:t>Republika Srbija</w:t>
            </w:r>
          </w:p>
          <w:p w:rsidR="00177144" w:rsidRPr="00C46935" w:rsidRDefault="008258C1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46935">
              <w:rPr>
                <w:rFonts w:ascii="Verdana" w:hAnsi="Verdana"/>
                <w:color w:val="000000" w:themeColor="text1"/>
                <w:sz w:val="16"/>
                <w:szCs w:val="16"/>
              </w:rPr>
              <w:t>Autonomna Pokrajina Vojvodina</w:t>
            </w:r>
          </w:p>
          <w:p w:rsidR="00177144" w:rsidRPr="00C46935" w:rsidRDefault="00177144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:rsidR="00177144" w:rsidRPr="00C46935" w:rsidRDefault="008258C1">
            <w:pPr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 w:rsidRPr="00C4693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Pokrajinsko tajništvo za obrazovanje, propise,</w:t>
            </w:r>
          </w:p>
          <w:p w:rsidR="00177144" w:rsidRPr="00C46935" w:rsidRDefault="008258C1">
            <w:pPr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 w:rsidRPr="00C46935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upravu i nacionalne manjine – nacionalne zajednice</w:t>
            </w:r>
          </w:p>
          <w:p w:rsidR="00177144" w:rsidRPr="00C46935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:rsidR="00177144" w:rsidRPr="00C46935" w:rsidRDefault="008258C1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46935">
              <w:rPr>
                <w:rFonts w:ascii="Verdana" w:hAnsi="Verdana"/>
                <w:color w:val="000000" w:themeColor="text1"/>
                <w:sz w:val="16"/>
                <w:szCs w:val="16"/>
              </w:rPr>
              <w:t>Bulevar Mihajla Pupina 16, 21000 Novi Sad</w:t>
            </w:r>
          </w:p>
          <w:p w:rsidR="00177144" w:rsidRPr="00C46935" w:rsidRDefault="008258C1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46935">
              <w:rPr>
                <w:rFonts w:ascii="Verdana" w:hAnsi="Verdana"/>
                <w:color w:val="000000" w:themeColor="text1"/>
                <w:sz w:val="16"/>
                <w:szCs w:val="16"/>
              </w:rPr>
              <w:t>T: +381 21  487  46 77</w:t>
            </w:r>
          </w:p>
          <w:p w:rsidR="00177144" w:rsidRPr="00C46935" w:rsidRDefault="00004BEB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color w:val="000000" w:themeColor="text1"/>
                <w:sz w:val="16"/>
                <w:szCs w:val="16"/>
              </w:rPr>
            </w:pPr>
            <w:r w:rsidRPr="00C46935">
              <w:rPr>
                <w:rFonts w:ascii="Verdana" w:hAnsi="Verdana"/>
                <w:color w:val="000000" w:themeColor="text1"/>
                <w:sz w:val="16"/>
                <w:szCs w:val="16"/>
              </w:rPr>
              <w:t>livia.bata@vojvodina.gov.rs</w:t>
            </w:r>
          </w:p>
        </w:tc>
      </w:tr>
      <w:tr w:rsidR="008258C1" w:rsidRPr="00C46935" w:rsidTr="00C46935">
        <w:trPr>
          <w:trHeight w:val="305"/>
        </w:trPr>
        <w:tc>
          <w:tcPr>
            <w:tcW w:w="2550" w:type="dxa"/>
            <w:gridSpan w:val="2"/>
          </w:tcPr>
          <w:p w:rsidR="00177144" w:rsidRPr="00C46935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3438" w:type="dxa"/>
          </w:tcPr>
          <w:p w:rsidR="00177144" w:rsidRPr="00C46935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color w:val="000000" w:themeColor="text1"/>
                <w:sz w:val="14"/>
                <w:szCs w:val="14"/>
              </w:rPr>
            </w:pPr>
          </w:p>
          <w:p w:rsidR="00177144" w:rsidRPr="00C46935" w:rsidRDefault="008258C1" w:rsidP="0025198E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color w:val="000000" w:themeColor="text1"/>
                <w:sz w:val="14"/>
                <w:szCs w:val="14"/>
              </w:rPr>
            </w:pPr>
            <w:r w:rsidRPr="00C46935">
              <w:rPr>
                <w:rFonts w:ascii="Verdana" w:hAnsi="Verdana"/>
                <w:color w:val="000000" w:themeColor="text1"/>
                <w:sz w:val="14"/>
                <w:szCs w:val="14"/>
              </w:rPr>
              <w:t>KLASA:   128-90-23/2023-05</w:t>
            </w:r>
          </w:p>
        </w:tc>
        <w:tc>
          <w:tcPr>
            <w:tcW w:w="5444" w:type="dxa"/>
          </w:tcPr>
          <w:p w:rsidR="00177144" w:rsidRPr="00C46935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color w:val="000000" w:themeColor="text1"/>
                <w:sz w:val="14"/>
                <w:szCs w:val="14"/>
              </w:rPr>
            </w:pPr>
          </w:p>
          <w:p w:rsidR="00177144" w:rsidRPr="00C46935" w:rsidRDefault="008258C1" w:rsidP="003F7351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color w:val="000000" w:themeColor="text1"/>
                <w:sz w:val="14"/>
                <w:szCs w:val="14"/>
              </w:rPr>
            </w:pPr>
            <w:r w:rsidRPr="00C46935">
              <w:rPr>
                <w:rFonts w:ascii="Verdana" w:hAnsi="Verdana"/>
                <w:color w:val="000000" w:themeColor="text1"/>
                <w:sz w:val="14"/>
                <w:szCs w:val="14"/>
              </w:rPr>
              <w:t>DATUM:  22.</w:t>
            </w:r>
            <w:r w:rsidR="00C46935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C46935">
              <w:rPr>
                <w:rFonts w:ascii="Verdana" w:hAnsi="Verdana"/>
                <w:color w:val="000000" w:themeColor="text1"/>
                <w:sz w:val="14"/>
                <w:szCs w:val="14"/>
              </w:rPr>
              <w:t>2.</w:t>
            </w:r>
            <w:r w:rsidR="00C46935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C46935">
              <w:rPr>
                <w:rFonts w:ascii="Verdana" w:hAnsi="Verdana"/>
                <w:color w:val="000000" w:themeColor="text1"/>
                <w:sz w:val="14"/>
                <w:szCs w:val="14"/>
              </w:rPr>
              <w:t>2023. godine</w:t>
            </w:r>
          </w:p>
        </w:tc>
      </w:tr>
      <w:tr w:rsidR="008258C1" w:rsidRPr="00C46935" w:rsidTr="00C46935">
        <w:trPr>
          <w:trHeight w:val="305"/>
        </w:trPr>
        <w:tc>
          <w:tcPr>
            <w:tcW w:w="1275" w:type="dxa"/>
          </w:tcPr>
          <w:p w:rsidR="00081D50" w:rsidRPr="00C46935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4713" w:type="dxa"/>
            <w:gridSpan w:val="2"/>
          </w:tcPr>
          <w:p w:rsidR="00081D50" w:rsidRPr="00C46935" w:rsidRDefault="00081D50" w:rsidP="00147477">
            <w:pPr>
              <w:tabs>
                <w:tab w:val="center" w:pos="4703"/>
                <w:tab w:val="right" w:pos="9406"/>
              </w:tabs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444" w:type="dxa"/>
          </w:tcPr>
          <w:p w:rsidR="00081D50" w:rsidRPr="00C46935" w:rsidRDefault="00081D50" w:rsidP="00147477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color w:val="000000" w:themeColor="text1"/>
                <w:sz w:val="16"/>
                <w:szCs w:val="16"/>
              </w:rPr>
            </w:pPr>
          </w:p>
        </w:tc>
      </w:tr>
    </w:tbl>
    <w:p w:rsidR="00AD5AA9" w:rsidRPr="00C46935" w:rsidRDefault="008258C1" w:rsidP="00C46935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>Na temelju članka 6. stavka 1. Pokrajinske skupštinske odluke o dodjeli proračunskih sredstava tijelima i organizacijama u čijem radu su u službenoj uporabi jezici i pisma nacionalnih manjina – nacionalnih zajednica („Službeni list APV“, broj: 14/15) u vezi s člancima 11., 12., 23. stavkom 4., 25</w:t>
      </w:r>
      <w:r w:rsidR="00C46935">
        <w:rPr>
          <w:rFonts w:ascii="Verdana" w:hAnsi="Verdana"/>
          <w:color w:val="000000" w:themeColor="text1"/>
          <w:sz w:val="20"/>
          <w:szCs w:val="20"/>
        </w:rPr>
        <w:t>.</w:t>
      </w:r>
      <w:r w:rsidRPr="00C46935">
        <w:rPr>
          <w:rFonts w:ascii="Verdana" w:hAnsi="Verdana"/>
          <w:color w:val="000000" w:themeColor="text1"/>
          <w:sz w:val="20"/>
          <w:szCs w:val="20"/>
        </w:rPr>
        <w:t xml:space="preserve"> i 26. Pokrajinske skupštinske odluke o proračunu Autonomne Pokrajine Vojvodine za 2023. godinu („Službeni list APV”, broj: 54/2022), i članka 3. stavka 1. Pravilnika o dodjeli proračunskih sredstava Pokrajinskog tajništva za obrazovanje, propise, upravu i nacionalne manjine – nacionalne zajednice tijelima i organizacijama u čijem radu su u službenoj uporabi jezici i pisma nacionalnih manjina – nacionalnih zajednica („Službeni list APV“, broj: 7/2023), Pokrajinsko tajništvo za obrazovanje, propise, upravu i nacionalne manjine – nacionalne zajednice raspisuje</w:t>
      </w:r>
    </w:p>
    <w:p w:rsidR="00AD5AA9" w:rsidRPr="00C46935" w:rsidRDefault="00AD5AA9" w:rsidP="00AD5AA9">
      <w:pPr>
        <w:ind w:left="374" w:right="94"/>
        <w:jc w:val="center"/>
        <w:rPr>
          <w:rFonts w:ascii="Verdana" w:hAnsi="Verdana"/>
          <w:color w:val="000000" w:themeColor="text1"/>
          <w:sz w:val="20"/>
          <w:szCs w:val="20"/>
        </w:rPr>
      </w:pPr>
    </w:p>
    <w:p w:rsidR="00AD5AA9" w:rsidRPr="00C46935" w:rsidRDefault="00AD5AA9" w:rsidP="00AD5AA9">
      <w:pPr>
        <w:ind w:left="374" w:right="94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 xml:space="preserve">  </w:t>
      </w:r>
    </w:p>
    <w:p w:rsidR="00AD5AA9" w:rsidRPr="00C46935" w:rsidRDefault="008258C1" w:rsidP="00C46935">
      <w:pPr>
        <w:ind w:right="94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C46935">
        <w:rPr>
          <w:rFonts w:ascii="Verdana" w:hAnsi="Verdana"/>
          <w:b/>
          <w:color w:val="000000" w:themeColor="text1"/>
          <w:sz w:val="20"/>
          <w:szCs w:val="20"/>
        </w:rPr>
        <w:t>N A T J E Č A J</w:t>
      </w:r>
    </w:p>
    <w:p w:rsidR="00AD5AA9" w:rsidRPr="00C46935" w:rsidRDefault="00AD5AA9" w:rsidP="00C46935">
      <w:pPr>
        <w:ind w:right="94"/>
        <w:jc w:val="center"/>
        <w:rPr>
          <w:rFonts w:ascii="Verdana" w:hAnsi="Verdana"/>
          <w:color w:val="000000" w:themeColor="text1"/>
          <w:sz w:val="20"/>
          <w:szCs w:val="20"/>
        </w:rPr>
      </w:pPr>
    </w:p>
    <w:p w:rsidR="00AD5AA9" w:rsidRPr="00C46935" w:rsidRDefault="008258C1" w:rsidP="00C46935">
      <w:pPr>
        <w:ind w:left="374" w:right="94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C46935">
        <w:rPr>
          <w:rFonts w:ascii="Verdana" w:hAnsi="Verdana"/>
          <w:b/>
          <w:color w:val="000000" w:themeColor="text1"/>
          <w:sz w:val="20"/>
          <w:szCs w:val="20"/>
        </w:rPr>
        <w:t>za dodjelu proračunskih sredstava tijelima</w:t>
      </w:r>
    </w:p>
    <w:p w:rsidR="00AD5AA9" w:rsidRPr="00C46935" w:rsidRDefault="008258C1" w:rsidP="00C46935">
      <w:pPr>
        <w:ind w:left="374" w:right="94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C46935">
        <w:rPr>
          <w:rFonts w:ascii="Verdana" w:hAnsi="Verdana"/>
          <w:b/>
          <w:color w:val="000000" w:themeColor="text1"/>
          <w:sz w:val="20"/>
          <w:szCs w:val="20"/>
        </w:rPr>
        <w:t>i organizacijama u Autonomnoj Pokrajini Vojvodini</w:t>
      </w:r>
    </w:p>
    <w:p w:rsidR="00AD5AA9" w:rsidRPr="00C46935" w:rsidRDefault="008258C1" w:rsidP="00C46935">
      <w:pPr>
        <w:ind w:left="374" w:right="94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C46935">
        <w:rPr>
          <w:rFonts w:ascii="Verdana" w:hAnsi="Verdana"/>
          <w:b/>
          <w:color w:val="000000" w:themeColor="text1"/>
          <w:sz w:val="20"/>
          <w:szCs w:val="20"/>
        </w:rPr>
        <w:t>u čijem radu su u službenoj uporabi jezici i pisma nacionalnih manjina – nacionalnih zajednica za 2023. godinu</w:t>
      </w:r>
    </w:p>
    <w:p w:rsidR="00AD5AA9" w:rsidRPr="00C46935" w:rsidRDefault="00AD5AA9" w:rsidP="00AD5AA9">
      <w:pPr>
        <w:ind w:right="94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AD5AA9" w:rsidRPr="00C46935" w:rsidRDefault="00AD5AA9" w:rsidP="00AD5AA9">
      <w:pPr>
        <w:ind w:left="374" w:right="94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AD5AA9" w:rsidRPr="00C46935" w:rsidRDefault="008258C1" w:rsidP="00C46935">
      <w:pPr>
        <w:ind w:right="9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b/>
          <w:color w:val="000000" w:themeColor="text1"/>
          <w:sz w:val="20"/>
          <w:szCs w:val="20"/>
        </w:rPr>
        <w:t xml:space="preserve">Sredstva u iznosu od 10.000.000,00 </w:t>
      </w:r>
      <w:r w:rsidRPr="00C46935">
        <w:rPr>
          <w:rFonts w:ascii="Verdana" w:hAnsi="Verdana"/>
          <w:color w:val="000000" w:themeColor="text1"/>
          <w:sz w:val="20"/>
          <w:szCs w:val="20"/>
        </w:rPr>
        <w:t>dinara se dodjeljuju radi unapređivanja ostvarivanja prava na službenu uporabu jezika i pisama nacionalnih manjina – nacionalnih zajednica u Autonomnoj Pokrajini Vojvodini.</w:t>
      </w:r>
    </w:p>
    <w:p w:rsidR="00AD5AA9" w:rsidRPr="00C46935" w:rsidRDefault="00AD5AA9" w:rsidP="00AD5AA9">
      <w:pPr>
        <w:ind w:left="374" w:right="94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AD5AA9" w:rsidRPr="00C46935" w:rsidRDefault="00C46935" w:rsidP="00C46935">
      <w:pPr>
        <w:ind w:left="374" w:right="94" w:hanging="1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Pravo sudjelovanja na N</w:t>
      </w:r>
      <w:r w:rsidR="008258C1" w:rsidRPr="00C46935">
        <w:rPr>
          <w:rFonts w:ascii="Verdana" w:hAnsi="Verdana"/>
          <w:b/>
          <w:color w:val="000000" w:themeColor="text1"/>
          <w:sz w:val="20"/>
          <w:szCs w:val="20"/>
        </w:rPr>
        <w:t>atječaju imaju:</w:t>
      </w:r>
    </w:p>
    <w:p w:rsidR="00AD5AA9" w:rsidRPr="00C46935" w:rsidRDefault="00AD5AA9" w:rsidP="00C46935">
      <w:pPr>
        <w:ind w:right="94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AD5AA9" w:rsidRPr="00C46935" w:rsidRDefault="008258C1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 xml:space="preserve">tijela jedinica lokalne samouprave s teritorija Autonomne Pokrajine Vojvodine, u kojima je statutom grada, odnosno općine utvrđena službena uporaba jezika i pisama nacionalnih manjina </w:t>
      </w:r>
      <w:r w:rsidR="00C46935">
        <w:rPr>
          <w:rFonts w:ascii="Verdana" w:hAnsi="Verdana"/>
          <w:color w:val="000000" w:themeColor="text1"/>
          <w:sz w:val="20"/>
          <w:szCs w:val="20"/>
        </w:rPr>
        <w:t>–</w:t>
      </w:r>
      <w:r w:rsidRPr="00C46935">
        <w:rPr>
          <w:rFonts w:ascii="Verdana" w:hAnsi="Verdana"/>
          <w:color w:val="000000" w:themeColor="text1"/>
          <w:sz w:val="20"/>
          <w:szCs w:val="20"/>
        </w:rPr>
        <w:t xml:space="preserve"> nacionalnih zajednica na cijelom teritoriju jedinice lokalne samouprave ili u naseljenim mjestima na njihovom teritoriju;</w:t>
      </w:r>
    </w:p>
    <w:p w:rsidR="00AD5AA9" w:rsidRPr="00C46935" w:rsidRDefault="008258C1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>mjesne zajednice na teritoriju gradova i općina iz alineje jedan;</w:t>
      </w:r>
    </w:p>
    <w:p w:rsidR="00AD5AA9" w:rsidRPr="00C46935" w:rsidRDefault="008258C1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>druga tijela, organizacije, službe i ustanove, korisnici proračunskih sredstava, koji imaju sjedište na teritoriju lokalne samouprave ili koji obavljaju djelatnost na teritoriju lokalne samouprave, iz alineje jedan.</w:t>
      </w:r>
    </w:p>
    <w:p w:rsidR="00AD5AA9" w:rsidRPr="00C46935" w:rsidRDefault="00AD5AA9" w:rsidP="00AD5AA9">
      <w:pPr>
        <w:ind w:left="374" w:right="94" w:firstLine="998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AD5AA9" w:rsidRPr="00C46935" w:rsidRDefault="008258C1" w:rsidP="00C46935">
      <w:pPr>
        <w:ind w:left="374" w:right="94" w:firstLine="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b/>
          <w:color w:val="000000" w:themeColor="text1"/>
          <w:sz w:val="20"/>
          <w:szCs w:val="20"/>
        </w:rPr>
        <w:t>Sredstva se dodjeljuju</w:t>
      </w:r>
      <w:r w:rsidRPr="00C46935">
        <w:rPr>
          <w:rFonts w:ascii="Verdana" w:hAnsi="Verdana"/>
          <w:color w:val="000000" w:themeColor="text1"/>
          <w:sz w:val="20"/>
          <w:szCs w:val="20"/>
        </w:rPr>
        <w:t xml:space="preserve"> za financiranje, odnosno sudjelovanje u financiranju:</w:t>
      </w:r>
    </w:p>
    <w:p w:rsidR="00AD5AA9" w:rsidRPr="00C46935" w:rsidRDefault="00AD5AA9" w:rsidP="00AD5AA9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0560D4" w:rsidRPr="00C46935" w:rsidRDefault="008258C1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>troškova izrade i postavljanja ploča s nazivom tijela i organizacija, nazivom naseljenih mjesta i drugih zemljopisnih naziva na cestovnim pravcima, nazivom ulica i trgova, kao i drugih obavijesti i upozorenja za javnost ispisanih i na jezicima nacionalnih manjina – nacionalnih zajednica koji su u službenoj uporabi u općini, gradu ili naseljenom mjestu;</w:t>
      </w:r>
    </w:p>
    <w:p w:rsidR="00F247CF" w:rsidRPr="00C46935" w:rsidRDefault="008258C1" w:rsidP="00C46935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>za tisak dvojezičnih ili višejezičnih obrazaca, službenih glasila i drugih javnih publikacija;</w:t>
      </w:r>
    </w:p>
    <w:p w:rsidR="00D10CCE" w:rsidRPr="00C46935" w:rsidRDefault="008258C1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>za razvoj sustava elektroničke uprave za rad u uvjetima višejezičnosti.</w:t>
      </w:r>
    </w:p>
    <w:p w:rsidR="00AD5AA9" w:rsidRPr="00C46935" w:rsidRDefault="00AD5AA9" w:rsidP="00AD5AA9">
      <w:pPr>
        <w:ind w:left="374" w:right="94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AD5AA9" w:rsidRPr="00C46935" w:rsidRDefault="008258C1" w:rsidP="00C46935">
      <w:pPr>
        <w:ind w:left="374" w:right="94" w:firstLine="18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b/>
          <w:color w:val="000000" w:themeColor="text1"/>
          <w:sz w:val="20"/>
          <w:szCs w:val="20"/>
        </w:rPr>
        <w:lastRenderedPageBreak/>
        <w:t>Visina sredstava</w:t>
      </w:r>
      <w:r w:rsidRPr="00C46935">
        <w:rPr>
          <w:rFonts w:ascii="Verdana" w:hAnsi="Verdana"/>
          <w:color w:val="000000" w:themeColor="text1"/>
          <w:sz w:val="20"/>
          <w:szCs w:val="20"/>
        </w:rPr>
        <w:t xml:space="preserve"> za dodjelu utvrđuje se na temelju sljedećih kriterija: </w:t>
      </w:r>
    </w:p>
    <w:p w:rsidR="00AD5AA9" w:rsidRPr="00C46935" w:rsidRDefault="00AD5AA9" w:rsidP="00AD5AA9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AD5AA9" w:rsidRPr="00C46935" w:rsidRDefault="008258C1" w:rsidP="00C46935">
      <w:pPr>
        <w:numPr>
          <w:ilvl w:val="0"/>
          <w:numId w:val="2"/>
        </w:numPr>
        <w:tabs>
          <w:tab w:val="num" w:pos="374"/>
          <w:tab w:val="num" w:pos="426"/>
        </w:tabs>
        <w:ind w:left="374" w:right="9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>broj jezika i pisama nacionalnih manjina – nacionalnih zajednica koji su u službenoj uporabi na cijelom teritoriju općine, grada ili naseljenog mjesta;</w:t>
      </w:r>
    </w:p>
    <w:p w:rsidR="00AD5AA9" w:rsidRPr="00C46935" w:rsidRDefault="008258C1" w:rsidP="00C46935">
      <w:pPr>
        <w:numPr>
          <w:ilvl w:val="0"/>
          <w:numId w:val="2"/>
        </w:numPr>
        <w:tabs>
          <w:tab w:val="num" w:pos="374"/>
          <w:tab w:val="num" w:pos="426"/>
        </w:tabs>
        <w:ind w:left="374" w:right="9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>postotni udjel pripadnika nacionalnih manjina – nacionalnih zajednica čiji su jezici i pisma u službenoj uporabi u ukupnom broju stanovništva prema službenim podacima Republičkog zavoda za statistiku, na temelju posljednjeg popisa stanovništva;</w:t>
      </w:r>
    </w:p>
    <w:p w:rsidR="00AD5AA9" w:rsidRPr="00C46935" w:rsidRDefault="008258C1" w:rsidP="00C46935">
      <w:pPr>
        <w:numPr>
          <w:ilvl w:val="0"/>
          <w:numId w:val="2"/>
        </w:numPr>
        <w:tabs>
          <w:tab w:val="num" w:pos="374"/>
          <w:tab w:val="num" w:pos="426"/>
        </w:tabs>
        <w:ind w:left="374" w:right="9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>ukupni materijalni troškovi potrebni za realizaciju aktivnosti;</w:t>
      </w:r>
    </w:p>
    <w:p w:rsidR="00AD5AA9" w:rsidRPr="00C46935" w:rsidRDefault="008258C1" w:rsidP="00C46935">
      <w:pPr>
        <w:numPr>
          <w:ilvl w:val="0"/>
          <w:numId w:val="2"/>
        </w:numPr>
        <w:tabs>
          <w:tab w:val="num" w:pos="374"/>
          <w:tab w:val="num" w:pos="426"/>
        </w:tabs>
        <w:ind w:left="374" w:right="9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>postojanje drugih izvora financiranja aktivnosti;</w:t>
      </w:r>
    </w:p>
    <w:p w:rsidR="00B445D1" w:rsidRPr="00C46935" w:rsidRDefault="008258C1" w:rsidP="00C46935">
      <w:pPr>
        <w:numPr>
          <w:ilvl w:val="0"/>
          <w:numId w:val="2"/>
        </w:numPr>
        <w:tabs>
          <w:tab w:val="num" w:pos="374"/>
          <w:tab w:val="num" w:pos="426"/>
        </w:tabs>
        <w:ind w:left="374" w:right="9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>kontinuitet u financiranju aktivnosti od strane Tajništva, odnosno traže li se sredstva prvi put</w:t>
      </w:r>
      <w:r w:rsidR="00C46935">
        <w:rPr>
          <w:rFonts w:ascii="Verdana" w:hAnsi="Verdana"/>
          <w:color w:val="000000" w:themeColor="text1"/>
          <w:sz w:val="20"/>
          <w:szCs w:val="20"/>
        </w:rPr>
        <w:t>;</w:t>
      </w:r>
    </w:p>
    <w:p w:rsidR="00B445D1" w:rsidRPr="00C46935" w:rsidRDefault="008258C1" w:rsidP="00C46935">
      <w:pPr>
        <w:numPr>
          <w:ilvl w:val="0"/>
          <w:numId w:val="2"/>
        </w:numPr>
        <w:tabs>
          <w:tab w:val="num" w:pos="374"/>
          <w:tab w:val="num" w:pos="426"/>
        </w:tabs>
        <w:ind w:left="374" w:right="9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>postojanje naloženih ili preporučenih mjera za unapređenje aktivnosti na unapređenju višejezičnosti od strane inspekcijskih službi;</w:t>
      </w:r>
    </w:p>
    <w:p w:rsidR="00AD5AA9" w:rsidRPr="00C46935" w:rsidRDefault="008258C1" w:rsidP="00C46935">
      <w:pPr>
        <w:numPr>
          <w:ilvl w:val="0"/>
          <w:numId w:val="2"/>
        </w:numPr>
        <w:tabs>
          <w:tab w:val="num" w:pos="374"/>
          <w:tab w:val="num" w:pos="426"/>
        </w:tabs>
        <w:ind w:left="374" w:right="9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>postojanje potvrde od strane nacionalnog vijeća nacionalne manjine o značaju financiranja aktivnosti.</w:t>
      </w:r>
    </w:p>
    <w:p w:rsidR="00AD5AA9" w:rsidRPr="00C46935" w:rsidRDefault="00AD5AA9" w:rsidP="00AD5AA9">
      <w:pPr>
        <w:ind w:left="374" w:right="94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B31AA4" w:rsidRDefault="008258C1" w:rsidP="00C46935">
      <w:pPr>
        <w:ind w:right="94" w:firstLine="567"/>
        <w:jc w:val="both"/>
        <w:rPr>
          <w:rStyle w:val="Hyperlink"/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 xml:space="preserve">Natječajna dokumentacija može se preuzeti od </w:t>
      </w:r>
      <w:r w:rsidRPr="00C46935">
        <w:rPr>
          <w:rFonts w:ascii="Verdana" w:hAnsi="Verdana"/>
          <w:b/>
          <w:color w:val="000000" w:themeColor="text1"/>
          <w:sz w:val="20"/>
          <w:szCs w:val="20"/>
        </w:rPr>
        <w:t>22. 2. 2023. godine</w:t>
      </w:r>
      <w:r w:rsidRPr="00C46935">
        <w:rPr>
          <w:rFonts w:ascii="Verdana" w:hAnsi="Verdana"/>
          <w:color w:val="000000" w:themeColor="text1"/>
          <w:sz w:val="20"/>
          <w:szCs w:val="20"/>
        </w:rPr>
        <w:t xml:space="preserve"> u prostorijama Tajništva ili na internetskoj adresi Tajništva </w:t>
      </w:r>
      <w:hyperlink r:id="rId6" w:history="1">
        <w:r w:rsidRPr="00C46935">
          <w:rPr>
            <w:rStyle w:val="Hyperlink"/>
            <w:rFonts w:ascii="Verdana" w:hAnsi="Verdana"/>
            <w:color w:val="000000" w:themeColor="text1"/>
            <w:sz w:val="20"/>
            <w:szCs w:val="20"/>
          </w:rPr>
          <w:t>www.puma.vojvodina.gov.rs</w:t>
        </w:r>
      </w:hyperlink>
    </w:p>
    <w:p w:rsidR="00C46935" w:rsidRPr="00C46935" w:rsidRDefault="00C46935" w:rsidP="00C46935">
      <w:pPr>
        <w:ind w:right="94" w:firstLine="567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AD5AA9" w:rsidRDefault="00C46935" w:rsidP="00C46935">
      <w:pPr>
        <w:ind w:right="94" w:firstLine="567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Rok za podnošenje prijava na N</w:t>
      </w:r>
      <w:r w:rsidR="008258C1" w:rsidRPr="00C46935">
        <w:rPr>
          <w:rFonts w:ascii="Verdana" w:hAnsi="Verdana"/>
          <w:b/>
          <w:color w:val="000000" w:themeColor="text1"/>
          <w:sz w:val="20"/>
          <w:szCs w:val="20"/>
        </w:rPr>
        <w:t>atječaj je do 10. ožujka 2023. godine.</w:t>
      </w:r>
    </w:p>
    <w:p w:rsidR="00C46935" w:rsidRPr="00C46935" w:rsidRDefault="00C46935" w:rsidP="00C46935">
      <w:pPr>
        <w:ind w:right="94" w:firstLine="567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AD5AA9" w:rsidRDefault="00C46935" w:rsidP="00C46935">
      <w:pPr>
        <w:ind w:right="94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Prijave na N</w:t>
      </w:r>
      <w:r w:rsidR="008258C1" w:rsidRPr="00C46935">
        <w:rPr>
          <w:rFonts w:ascii="Verdana" w:hAnsi="Verdana"/>
          <w:color w:val="000000" w:themeColor="text1"/>
          <w:sz w:val="20"/>
          <w:szCs w:val="20"/>
        </w:rPr>
        <w:t xml:space="preserve">atječaj se podnose isključivo na natječajnim obrascima Tajništva. Cjelokupna natječajna dokumentacija može se preuzeti u prostorijama Tajništva ili na internetskoj adresi: </w:t>
      </w:r>
      <w:hyperlink r:id="rId7" w:history="1">
        <w:r w:rsidRPr="00AE3E3B">
          <w:rPr>
            <w:rStyle w:val="Hyperlink"/>
            <w:rFonts w:ascii="Verdana" w:hAnsi="Verdana"/>
            <w:sz w:val="20"/>
            <w:szCs w:val="20"/>
          </w:rPr>
          <w:t>www.puma.vojvodina.gov.rs</w:t>
        </w:r>
      </w:hyperlink>
      <w:r w:rsidR="008258C1" w:rsidRPr="00C46935">
        <w:rPr>
          <w:rFonts w:ascii="Verdana" w:hAnsi="Verdana"/>
          <w:color w:val="000000" w:themeColor="text1"/>
          <w:sz w:val="20"/>
          <w:szCs w:val="20"/>
        </w:rPr>
        <w:t>.</w:t>
      </w:r>
    </w:p>
    <w:p w:rsidR="00C46935" w:rsidRPr="00C46935" w:rsidRDefault="00C46935" w:rsidP="00C46935">
      <w:pPr>
        <w:ind w:right="94" w:firstLine="567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AD5AA9" w:rsidRPr="00C46935" w:rsidRDefault="00C46935" w:rsidP="00C46935">
      <w:pPr>
        <w:ind w:right="94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Prijave na N</w:t>
      </w:r>
      <w:r w:rsidR="008258C1" w:rsidRPr="00C46935">
        <w:rPr>
          <w:rFonts w:ascii="Verdana" w:hAnsi="Verdana"/>
          <w:color w:val="000000" w:themeColor="text1"/>
          <w:sz w:val="20"/>
          <w:szCs w:val="20"/>
        </w:rPr>
        <w:t>atječaj se podnose isključivo na natječajnim obrascima Tajništva, na srpskom jeziku ili na jeziku nacionalne manjine – nacionalne zajednice koji je u službenoj uporabi u tijelima Autonomne Pokrajine Vojvodine.</w:t>
      </w:r>
    </w:p>
    <w:p w:rsidR="00AD5AA9" w:rsidRPr="00C46935" w:rsidRDefault="00AD5AA9" w:rsidP="00AD5AA9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B445D1" w:rsidRPr="00C46935" w:rsidRDefault="008258C1" w:rsidP="00C46935">
      <w:pPr>
        <w:ind w:right="94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 xml:space="preserve">Prijave se podnose: </w:t>
      </w:r>
    </w:p>
    <w:p w:rsidR="00B31AA4" w:rsidRPr="00C46935" w:rsidRDefault="00B31AA4" w:rsidP="00B445D1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B445D1" w:rsidRPr="00C46935" w:rsidRDefault="00B445D1" w:rsidP="00C46935">
      <w:pPr>
        <w:ind w:left="374" w:right="94" w:firstLine="5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>1. osobno, predajom pisarnici pokrajinskih tijela uprave u Novom Sadu;</w:t>
      </w:r>
    </w:p>
    <w:p w:rsidR="00B445D1" w:rsidRPr="00C46935" w:rsidRDefault="00B445D1" w:rsidP="00C46935">
      <w:pPr>
        <w:ind w:left="374" w:right="94" w:firstLine="5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 xml:space="preserve">2. poštom na adresu: </w:t>
      </w:r>
    </w:p>
    <w:p w:rsidR="00C46935" w:rsidRDefault="008258C1" w:rsidP="00C46935">
      <w:pPr>
        <w:ind w:left="374" w:right="94" w:firstLine="52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 xml:space="preserve">Pokrajinsko tajništvo za  obrazovanje, propise, upravu i nacionalne manjine – nacionalne zajednice, </w:t>
      </w:r>
    </w:p>
    <w:p w:rsidR="00B445D1" w:rsidRPr="00C46935" w:rsidRDefault="008258C1" w:rsidP="00C46935">
      <w:pPr>
        <w:ind w:left="374" w:right="94" w:firstLine="52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>Bulevar Mihajla Pupina 16, 21000 Novi Sad</w:t>
      </w:r>
    </w:p>
    <w:p w:rsidR="00B31AA4" w:rsidRPr="00C46935" w:rsidRDefault="008258C1" w:rsidP="00C46935">
      <w:pPr>
        <w:ind w:left="374" w:right="94" w:firstLine="52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 xml:space="preserve">ZA NATJEČAJ </w:t>
      </w:r>
      <w:r w:rsidR="00C46935">
        <w:rPr>
          <w:rFonts w:ascii="Verdana" w:hAnsi="Verdana"/>
          <w:color w:val="000000" w:themeColor="text1"/>
          <w:sz w:val="20"/>
          <w:szCs w:val="20"/>
        </w:rPr>
        <w:t>–</w:t>
      </w:r>
      <w:r w:rsidRPr="00C46935">
        <w:rPr>
          <w:rFonts w:ascii="Verdana" w:hAnsi="Verdana"/>
          <w:color w:val="000000" w:themeColor="text1"/>
          <w:sz w:val="20"/>
          <w:szCs w:val="20"/>
        </w:rPr>
        <w:t xml:space="preserve"> DODJELA PRORAČUNSKIH SREDSTAVA TIJELIMA</w:t>
      </w:r>
    </w:p>
    <w:p w:rsidR="00B31AA4" w:rsidRPr="00C46935" w:rsidRDefault="008258C1" w:rsidP="00C46935">
      <w:pPr>
        <w:ind w:left="374" w:right="94" w:firstLine="52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>I ORGANIZACIJAMA U AUTONOMNOJ POKRAJINI VOJVODINI</w:t>
      </w:r>
    </w:p>
    <w:p w:rsidR="00C46935" w:rsidRDefault="008258C1" w:rsidP="00C46935">
      <w:pPr>
        <w:ind w:left="374" w:right="94" w:firstLine="52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 xml:space="preserve">U ČIJEM RADU SU U SLUŽBENOJ UPORABI JEZICI I PISMA </w:t>
      </w:r>
    </w:p>
    <w:p w:rsidR="00B31AA4" w:rsidRPr="00C46935" w:rsidRDefault="008258C1" w:rsidP="00C46935">
      <w:pPr>
        <w:ind w:left="374" w:right="94" w:firstLine="52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>NACIONALNIH MANJINA – NACIONALNIH ZAJEDNICA ZA 2023. GODINU</w:t>
      </w:r>
    </w:p>
    <w:p w:rsidR="00B31AA4" w:rsidRPr="00C46935" w:rsidRDefault="00B31AA4" w:rsidP="00B445D1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AD5AA9" w:rsidRDefault="00C46935" w:rsidP="00C46935">
      <w:pPr>
        <w:ind w:right="94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Prijave na N</w:t>
      </w:r>
      <w:r w:rsidR="008258C1" w:rsidRPr="00C46935">
        <w:rPr>
          <w:rFonts w:ascii="Verdana" w:hAnsi="Verdana"/>
          <w:color w:val="000000" w:themeColor="text1"/>
          <w:sz w:val="20"/>
          <w:szCs w:val="20"/>
        </w:rPr>
        <w:t>atječaj se dostavljaju u dva primjerka s dvije izjave ovjerene i potpisane od strane ovlaštene osobe podnositelja p</w:t>
      </w:r>
      <w:r>
        <w:rPr>
          <w:rFonts w:ascii="Verdana" w:hAnsi="Verdana"/>
          <w:color w:val="000000" w:themeColor="text1"/>
          <w:sz w:val="20"/>
          <w:szCs w:val="20"/>
        </w:rPr>
        <w:t>rijave, ukoliko se sudjeluje u N</w:t>
      </w:r>
      <w:r w:rsidR="008258C1" w:rsidRPr="00C46935">
        <w:rPr>
          <w:rFonts w:ascii="Verdana" w:hAnsi="Verdana"/>
          <w:color w:val="000000" w:themeColor="text1"/>
          <w:sz w:val="20"/>
          <w:szCs w:val="20"/>
        </w:rPr>
        <w:t>atječaju po jednoj osnovi, uk</w:t>
      </w:r>
      <w:r>
        <w:rPr>
          <w:rFonts w:ascii="Verdana" w:hAnsi="Verdana"/>
          <w:color w:val="000000" w:themeColor="text1"/>
          <w:sz w:val="20"/>
          <w:szCs w:val="20"/>
        </w:rPr>
        <w:t xml:space="preserve">oliko se istodobno sudjeluje u Natječaju </w:t>
      </w:r>
      <w:r w:rsidR="008258C1" w:rsidRPr="00C46935">
        <w:rPr>
          <w:rFonts w:ascii="Verdana" w:hAnsi="Verdana"/>
          <w:color w:val="000000" w:themeColor="text1"/>
          <w:sz w:val="20"/>
          <w:szCs w:val="20"/>
        </w:rPr>
        <w:t xml:space="preserve">po više osnova, prijave se dostavljaju u dva primjerka po svakoj osnovi, s isto toliko ovjerenih izjava. 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C46935" w:rsidRPr="00C46935" w:rsidRDefault="00C46935" w:rsidP="00C46935">
      <w:pPr>
        <w:ind w:right="94" w:firstLine="567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AD5AA9" w:rsidRDefault="008258C1" w:rsidP="00C46935">
      <w:pPr>
        <w:ind w:right="94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>Neće se uzeti u razmatranje nepravodobne ili nepotpune prijave, kod kojih nedostatak nije otklonjen po ukazivanju, kao n</w:t>
      </w:r>
      <w:r w:rsidR="00C46935">
        <w:rPr>
          <w:rFonts w:ascii="Verdana" w:hAnsi="Verdana"/>
          <w:color w:val="000000" w:themeColor="text1"/>
          <w:sz w:val="20"/>
          <w:szCs w:val="20"/>
        </w:rPr>
        <w:t>i prijave koje se ne odnose na N</w:t>
      </w:r>
      <w:r w:rsidRPr="00C46935">
        <w:rPr>
          <w:rFonts w:ascii="Verdana" w:hAnsi="Verdana"/>
          <w:color w:val="000000" w:themeColor="text1"/>
          <w:sz w:val="20"/>
          <w:szCs w:val="20"/>
        </w:rPr>
        <w:t>atječajem predviđene namjene ili su podnesene od strane neovlaštenih osoba.</w:t>
      </w:r>
    </w:p>
    <w:p w:rsidR="00C46935" w:rsidRPr="00C46935" w:rsidRDefault="00C46935" w:rsidP="00C46935">
      <w:pPr>
        <w:ind w:right="94" w:firstLine="567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B445D1" w:rsidRDefault="00C46935" w:rsidP="00C46935">
      <w:pPr>
        <w:ind w:right="94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Tajništvo po N</w:t>
      </w:r>
      <w:r w:rsidR="008258C1" w:rsidRPr="00C46935">
        <w:rPr>
          <w:rFonts w:ascii="Verdana" w:hAnsi="Verdana"/>
          <w:color w:val="000000" w:themeColor="text1"/>
          <w:sz w:val="20"/>
          <w:szCs w:val="20"/>
        </w:rPr>
        <w:t xml:space="preserve">atječaju sufinancira isključivo aktivnosti koje se realiziraju u razdoblju od dana raspisivanja </w:t>
      </w:r>
      <w:r>
        <w:rPr>
          <w:rFonts w:ascii="Verdana" w:hAnsi="Verdana"/>
          <w:color w:val="000000" w:themeColor="text1"/>
          <w:sz w:val="20"/>
          <w:szCs w:val="20"/>
        </w:rPr>
        <w:t>Natječaja do 31. 12. 2023. godine.</w:t>
      </w:r>
    </w:p>
    <w:p w:rsidR="00C46935" w:rsidRPr="00C46935" w:rsidRDefault="00C46935" w:rsidP="00C46935">
      <w:pPr>
        <w:ind w:right="94" w:firstLine="567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AD5AA9" w:rsidRPr="00C46935" w:rsidRDefault="00C46935" w:rsidP="00C46935">
      <w:pPr>
        <w:ind w:right="94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Postupak N</w:t>
      </w:r>
      <w:r w:rsidR="008258C1" w:rsidRPr="00C46935">
        <w:rPr>
          <w:rFonts w:ascii="Verdana" w:hAnsi="Verdana"/>
          <w:color w:val="000000" w:themeColor="text1"/>
          <w:sz w:val="20"/>
          <w:szCs w:val="20"/>
        </w:rPr>
        <w:t>atječaja provodi povjerenstvo za razmatranje prijava koje formira pokrajinski tajnik. Povjerenstvo nakon razmatranja podnesenih prijava sastavlja listu vredn</w:t>
      </w:r>
      <w:r>
        <w:rPr>
          <w:rFonts w:ascii="Verdana" w:hAnsi="Verdana"/>
          <w:color w:val="000000" w:themeColor="text1"/>
          <w:sz w:val="20"/>
          <w:szCs w:val="20"/>
        </w:rPr>
        <w:t>ovanja i rangiranja prijava na N</w:t>
      </w:r>
      <w:r w:rsidR="008258C1" w:rsidRPr="00C46935">
        <w:rPr>
          <w:rFonts w:ascii="Verdana" w:hAnsi="Verdana"/>
          <w:color w:val="000000" w:themeColor="text1"/>
          <w:sz w:val="20"/>
          <w:szCs w:val="20"/>
        </w:rPr>
        <w:t xml:space="preserve">atječaju i dostavlja je pokrajinskom tajniku. </w:t>
      </w:r>
    </w:p>
    <w:p w:rsidR="00AD5AA9" w:rsidRPr="00C46935" w:rsidRDefault="008258C1" w:rsidP="00C46935">
      <w:pPr>
        <w:ind w:right="94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O dodjeli sredstava korisnika po provedenom postupku odlučuje pokrajinski tajnik rješenjem, koje je konačno. Rješenje o dodjeli sredstava će se objaviti na mrežnoj stranici Tajništva. </w:t>
      </w:r>
    </w:p>
    <w:p w:rsidR="00B31AA4" w:rsidRPr="00C46935" w:rsidRDefault="00B31AA4" w:rsidP="00B31AA4">
      <w:pPr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:rsidR="00EF711D" w:rsidRPr="00C46935" w:rsidRDefault="00C46935" w:rsidP="00C46935">
      <w:pPr>
        <w:ind w:right="94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Dodatne informacije o J</w:t>
      </w:r>
      <w:r w:rsidR="008258C1" w:rsidRPr="00C46935">
        <w:rPr>
          <w:rFonts w:ascii="Verdana" w:hAnsi="Verdana"/>
          <w:color w:val="000000" w:themeColor="text1"/>
          <w:sz w:val="20"/>
          <w:szCs w:val="20"/>
        </w:rPr>
        <w:t xml:space="preserve">avnom natječaju se mogu dobiti u Tajništvu, na broj telefona 021/487-4677, putem elektroničke pošte </w:t>
      </w:r>
      <w:hyperlink r:id="rId8" w:history="1">
        <w:r w:rsidR="008258C1" w:rsidRPr="00C46935">
          <w:rPr>
            <w:rFonts w:ascii="Verdana" w:hAnsi="Verdana"/>
            <w:color w:val="000000" w:themeColor="text1"/>
            <w:sz w:val="20"/>
            <w:szCs w:val="20"/>
          </w:rPr>
          <w:t>livia.bata@vojvodina.gov.rs</w:t>
        </w:r>
      </w:hyperlink>
      <w:r w:rsidR="008258C1" w:rsidRPr="00C46935">
        <w:rPr>
          <w:rFonts w:ascii="Verdana" w:hAnsi="Verdana"/>
          <w:color w:val="000000" w:themeColor="text1"/>
          <w:sz w:val="20"/>
          <w:szCs w:val="20"/>
        </w:rPr>
        <w:t xml:space="preserve"> ili na mrežnoj stranici Tajništva na adresi www.puma.vojvodina.gov.rs.</w:t>
      </w:r>
    </w:p>
    <w:p w:rsidR="00B31AA4" w:rsidRPr="00C46935" w:rsidRDefault="00B31AA4" w:rsidP="00AD5AA9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6A7DEE" w:rsidRPr="00C46935" w:rsidRDefault="006A7DEE" w:rsidP="00B31AA4">
      <w:pPr>
        <w:ind w:right="94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6A7DEE" w:rsidRPr="00C46935" w:rsidRDefault="006A7DEE" w:rsidP="00AD5AA9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E94564" w:rsidRPr="00C46935" w:rsidRDefault="003A063A" w:rsidP="00E94564">
      <w:pPr>
        <w:tabs>
          <w:tab w:val="center" w:pos="7200"/>
        </w:tabs>
        <w:spacing w:line="360" w:lineRule="auto"/>
        <w:rPr>
          <w:rFonts w:ascii="Verdana" w:hAnsi="Verdana" w:cs="Calibri"/>
          <w:color w:val="000000" w:themeColor="text1"/>
          <w:sz w:val="20"/>
          <w:szCs w:val="20"/>
        </w:rPr>
      </w:pPr>
      <w:r w:rsidRPr="00C4693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                                                                               </w:t>
      </w:r>
      <w:r w:rsidRPr="00C46935">
        <w:rPr>
          <w:rFonts w:ascii="Verdana" w:hAnsi="Verdana"/>
          <w:b/>
          <w:bCs/>
          <w:color w:val="000000" w:themeColor="text1"/>
          <w:sz w:val="20"/>
          <w:szCs w:val="20"/>
        </w:rPr>
        <w:tab/>
      </w:r>
      <w:r w:rsidRPr="00C46935">
        <w:rPr>
          <w:rFonts w:ascii="Verdana" w:hAnsi="Verdana"/>
          <w:color w:val="000000" w:themeColor="text1"/>
          <w:sz w:val="20"/>
          <w:szCs w:val="20"/>
        </w:rPr>
        <w:t>Pokrajinski tajnik</w:t>
      </w:r>
    </w:p>
    <w:p w:rsidR="00E94564" w:rsidRPr="00C46935" w:rsidRDefault="00E94564" w:rsidP="00E94564">
      <w:pPr>
        <w:tabs>
          <w:tab w:val="center" w:pos="7200"/>
        </w:tabs>
        <w:spacing w:line="360" w:lineRule="auto"/>
        <w:rPr>
          <w:rFonts w:ascii="Verdana" w:hAnsi="Verdana" w:cs="Calibri"/>
          <w:color w:val="000000" w:themeColor="text1"/>
          <w:sz w:val="20"/>
          <w:szCs w:val="20"/>
        </w:rPr>
      </w:pPr>
    </w:p>
    <w:p w:rsidR="00E94564" w:rsidRPr="00C46935" w:rsidRDefault="00F47292" w:rsidP="00E94564">
      <w:pPr>
        <w:tabs>
          <w:tab w:val="left" w:pos="2730"/>
          <w:tab w:val="center" w:pos="7200"/>
        </w:tabs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>Zsolt Szakállas, v.r.</w:t>
      </w:r>
      <w:bookmarkStart w:id="0" w:name="_GoBack"/>
      <w:bookmarkEnd w:id="0"/>
    </w:p>
    <w:p w:rsidR="00E94564" w:rsidRPr="00C46935" w:rsidRDefault="00C46935" w:rsidP="00E94564">
      <w:pPr>
        <w:tabs>
          <w:tab w:val="left" w:pos="2730"/>
          <w:tab w:val="center" w:pos="7200"/>
        </w:tabs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</w:p>
    <w:p w:rsidR="00E94564" w:rsidRPr="00C46935" w:rsidRDefault="00E94564" w:rsidP="00E94564">
      <w:pPr>
        <w:spacing w:after="200" w:line="276" w:lineRule="auto"/>
        <w:rPr>
          <w:rFonts w:ascii="Verdana" w:hAnsi="Verdana"/>
          <w:b/>
          <w:bCs/>
          <w:color w:val="000000" w:themeColor="text1"/>
          <w:lang w:eastAsia="en-GB"/>
        </w:rPr>
      </w:pPr>
    </w:p>
    <w:p w:rsidR="003A063A" w:rsidRPr="00C46935" w:rsidRDefault="003A063A" w:rsidP="003F7351">
      <w:pPr>
        <w:spacing w:after="200" w:line="276" w:lineRule="auto"/>
        <w:ind w:left="4248" w:firstLine="708"/>
        <w:rPr>
          <w:rFonts w:ascii="Verdana" w:hAnsi="Verdana"/>
          <w:b/>
          <w:bCs/>
          <w:color w:val="000000" w:themeColor="text1"/>
          <w:lang w:eastAsia="en-GB"/>
        </w:rPr>
      </w:pPr>
    </w:p>
    <w:p w:rsidR="006A7DEE" w:rsidRPr="00C46935" w:rsidRDefault="006A7DEE" w:rsidP="00AD5AA9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6A7DEE" w:rsidRPr="00C46935" w:rsidRDefault="006A7DEE" w:rsidP="00AD5AA9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AD5AA9" w:rsidRPr="00C46935" w:rsidRDefault="00AD5AA9" w:rsidP="00AD5AA9">
      <w:pPr>
        <w:ind w:left="374" w:right="94"/>
        <w:rPr>
          <w:rFonts w:ascii="Verdana" w:hAnsi="Verdana"/>
          <w:color w:val="000000" w:themeColor="text1"/>
          <w:sz w:val="20"/>
          <w:szCs w:val="20"/>
        </w:rPr>
      </w:pPr>
    </w:p>
    <w:p w:rsidR="00AD5AA9" w:rsidRPr="00C46935" w:rsidRDefault="00AD5AA9" w:rsidP="00AD5AA9">
      <w:pPr>
        <w:ind w:left="374" w:right="94"/>
        <w:rPr>
          <w:rFonts w:ascii="Verdana" w:hAnsi="Verdana"/>
          <w:color w:val="000000" w:themeColor="text1"/>
          <w:sz w:val="20"/>
          <w:szCs w:val="20"/>
        </w:rPr>
      </w:pPr>
    </w:p>
    <w:p w:rsidR="00AD5AA9" w:rsidRPr="00C46935" w:rsidRDefault="00AD5AA9" w:rsidP="00AD5AA9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AD5AA9" w:rsidRPr="00C46935" w:rsidRDefault="00AD5AA9" w:rsidP="00AD5AA9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AD5AA9" w:rsidRPr="00C46935" w:rsidRDefault="00AD5AA9" w:rsidP="00AD5AA9">
      <w:pPr>
        <w:ind w:firstLine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46935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8F2BFE" w:rsidRPr="00C46935" w:rsidRDefault="008F2BFE" w:rsidP="00170BF5">
      <w:pPr>
        <w:rPr>
          <w:rFonts w:ascii="Verdana" w:hAnsi="Verdana"/>
          <w:color w:val="000000" w:themeColor="text1"/>
        </w:rPr>
      </w:pPr>
    </w:p>
    <w:sectPr w:rsidR="008F2BFE" w:rsidRPr="00C46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3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4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B7"/>
    <w:rsid w:val="00004BEB"/>
    <w:rsid w:val="00051F21"/>
    <w:rsid w:val="000560D4"/>
    <w:rsid w:val="00062E1E"/>
    <w:rsid w:val="00063DE0"/>
    <w:rsid w:val="00081D50"/>
    <w:rsid w:val="00086C9B"/>
    <w:rsid w:val="00087533"/>
    <w:rsid w:val="000C0972"/>
    <w:rsid w:val="00122572"/>
    <w:rsid w:val="00125551"/>
    <w:rsid w:val="00137E20"/>
    <w:rsid w:val="00170BF5"/>
    <w:rsid w:val="00177144"/>
    <w:rsid w:val="00194E6E"/>
    <w:rsid w:val="001B58A1"/>
    <w:rsid w:val="001C4E12"/>
    <w:rsid w:val="001F5546"/>
    <w:rsid w:val="00237AD6"/>
    <w:rsid w:val="00243075"/>
    <w:rsid w:val="0025198E"/>
    <w:rsid w:val="002A66E2"/>
    <w:rsid w:val="00300248"/>
    <w:rsid w:val="0030158B"/>
    <w:rsid w:val="00310B1A"/>
    <w:rsid w:val="0034712E"/>
    <w:rsid w:val="00370CCA"/>
    <w:rsid w:val="00393B27"/>
    <w:rsid w:val="003A063A"/>
    <w:rsid w:val="003E2845"/>
    <w:rsid w:val="003F7351"/>
    <w:rsid w:val="00435474"/>
    <w:rsid w:val="004E787F"/>
    <w:rsid w:val="005108D5"/>
    <w:rsid w:val="0051347F"/>
    <w:rsid w:val="00551124"/>
    <w:rsid w:val="00581A0A"/>
    <w:rsid w:val="00585542"/>
    <w:rsid w:val="005C28B7"/>
    <w:rsid w:val="005D0411"/>
    <w:rsid w:val="00666B5A"/>
    <w:rsid w:val="00673CFB"/>
    <w:rsid w:val="0067486B"/>
    <w:rsid w:val="006A7DEE"/>
    <w:rsid w:val="00726F4A"/>
    <w:rsid w:val="00736CB5"/>
    <w:rsid w:val="007A5E01"/>
    <w:rsid w:val="007C4A42"/>
    <w:rsid w:val="008258C1"/>
    <w:rsid w:val="008B6E8E"/>
    <w:rsid w:val="008F2BFE"/>
    <w:rsid w:val="009108C7"/>
    <w:rsid w:val="009232C9"/>
    <w:rsid w:val="00953D69"/>
    <w:rsid w:val="009565DC"/>
    <w:rsid w:val="0096700E"/>
    <w:rsid w:val="009927C0"/>
    <w:rsid w:val="009A7AE2"/>
    <w:rsid w:val="00A32851"/>
    <w:rsid w:val="00A57663"/>
    <w:rsid w:val="00A92839"/>
    <w:rsid w:val="00AD0702"/>
    <w:rsid w:val="00AD5AA9"/>
    <w:rsid w:val="00B31AA4"/>
    <w:rsid w:val="00B445D1"/>
    <w:rsid w:val="00BA1A67"/>
    <w:rsid w:val="00BD6AAD"/>
    <w:rsid w:val="00C06C5B"/>
    <w:rsid w:val="00C46935"/>
    <w:rsid w:val="00CD0EB3"/>
    <w:rsid w:val="00CE7832"/>
    <w:rsid w:val="00D10CCE"/>
    <w:rsid w:val="00D71141"/>
    <w:rsid w:val="00D72E9C"/>
    <w:rsid w:val="00D82389"/>
    <w:rsid w:val="00DA149F"/>
    <w:rsid w:val="00E91541"/>
    <w:rsid w:val="00E94564"/>
    <w:rsid w:val="00ED1040"/>
    <w:rsid w:val="00EE14D2"/>
    <w:rsid w:val="00EF711D"/>
    <w:rsid w:val="00F1177C"/>
    <w:rsid w:val="00F247CF"/>
    <w:rsid w:val="00F40271"/>
    <w:rsid w:val="00F47292"/>
    <w:rsid w:val="00F53918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037E"/>
  <w15:docId w15:val="{9AA4BBC2-B207-4F22-BD35-CC4FBCE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hr-HR"/>
    </w:rPr>
  </w:style>
  <w:style w:type="character" w:styleId="Hyperlink">
    <w:name w:val="Hyperlink"/>
    <w:rsid w:val="00AD5AA9"/>
    <w:rPr>
      <w:color w:val="0000FF"/>
      <w:u w:val="single"/>
    </w:rPr>
  </w:style>
  <w:style w:type="paragraph" w:styleId="ListParagraph">
    <w:name w:val="List Paragraph"/>
    <w:basedOn w:val="Normal"/>
    <w:qFormat/>
    <w:rsid w:val="00B445D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ia.bata@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Mihaljev</dc:creator>
  <cp:lastModifiedBy>Livia Bata</cp:lastModifiedBy>
  <cp:revision>4</cp:revision>
  <cp:lastPrinted>2022-01-12T13:29:00Z</cp:lastPrinted>
  <dcterms:created xsi:type="dcterms:W3CDTF">2023-02-21T12:03:00Z</dcterms:created>
  <dcterms:modified xsi:type="dcterms:W3CDTF">2023-02-22T09:31:00Z</dcterms:modified>
</cp:coreProperties>
</file>