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1985"/>
        <w:gridCol w:w="8080"/>
      </w:tblGrid>
      <w:tr w:rsidR="00D1291A" w:rsidRPr="00E43122" w:rsidTr="00AB5E30">
        <w:trPr>
          <w:trHeight w:val="1975"/>
        </w:trPr>
        <w:tc>
          <w:tcPr>
            <w:tcW w:w="1985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143000" cy="657225"/>
                  <wp:effectExtent l="0" t="0" r="0" b="9525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Republica Serbia</w:t>
            </w:r>
          </w:p>
          <w:p w:rsidR="00D1291A" w:rsidRPr="00AB5E30" w:rsidRDefault="00D1291A" w:rsidP="001F5F7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Provincia Autonomă Voivodina</w:t>
            </w:r>
          </w:p>
          <w:p w:rsidR="00D1291A" w:rsidRPr="00AB5E30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Secretariatul Provincial pentru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Educaţie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>, Reglementări,</w:t>
            </w:r>
          </w:p>
          <w:p w:rsidR="00D1291A" w:rsidRPr="00AB5E30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Administraţie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şi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Minorităţile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Naţionale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Comunităţile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Naţionale</w:t>
            </w:r>
            <w:proofErr w:type="spellEnd"/>
          </w:p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Bulevar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Mihajla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Pupina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16, 21000 Novi Sad</w:t>
            </w:r>
          </w:p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+381 21  487  46 14, 487 40 36, 487 43 36</w:t>
            </w:r>
          </w:p>
          <w:p w:rsidR="00D1291A" w:rsidRPr="00AB5E30" w:rsidRDefault="007A44D8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hyperlink r:id="rId9" w:history="1">
              <w:r w:rsidR="00055640">
                <w:rPr>
                  <w:rStyle w:val="Hyperlink"/>
                  <w:rFonts w:ascii="Calibri" w:hAnsi="Calibri"/>
                  <w:sz w:val="20"/>
                  <w:szCs w:val="20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FE7848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128-454-9/01.04.2023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12.05.2023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7310E8" w:rsidRPr="005604D2" w:rsidRDefault="007310E8" w:rsidP="007310E8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24 alineatul 2 din Hotărârea Adunării Provinciei privind administrația provincială (Buletinul oficial al P.A.V.", numărul 37/14, 54/14 ‒ altă reglementare, 37/16, 29/17, 24/19, 66/20 și 38/21), articolului 23 alineatele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 din Hotărârea Adunării Provinciei privind bugetul Provinciei Autonome Voivodina pentru anul 2023 („Buletinul oficial al P.A.V.”, numărul 54/22) articolului 9 din Regulamentului privind repartizarea mijloacelor bugetare ale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modernizării infrastructurii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din domeniul nivelului de trai al elevilor din teritoriul P.A. Voivodina („Buletinul oficial al PAV”, nr. 07/23), după realizarea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elaborării documentației tehnice pentru nevoile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(„Buletinul oficial al PAV”, nr. 08/23), secretarul provincial emite:</w:t>
      </w:r>
    </w:p>
    <w:p w:rsidR="00D1291A" w:rsidRPr="005604D2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5604D2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DECIZIA</w:t>
      </w:r>
    </w:p>
    <w:p w:rsidR="00D1291A" w:rsidRPr="005604D2" w:rsidRDefault="00D1291A" w:rsidP="00BA66F9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PRIVIND REPARTIZAREA MIJLOACELOR BUGETARE ALE SECRETARIATULUI PROVINCIAL PENTRU EDUCAŢIE, REGLEMENTĂRI, ADMINISTRAŢIE ŞI MINORITĂŢILE NAŢIONALE - COMUNITĂŢILE NAŢIONALE PENTRU FINANŢAREA ŞI COFINANŢAREA ELABORĂRII DOCUMENTAȚIEI TEHNICE PENTRU NEVOILE INSTITUŢIILOR DE EDUCAŢIE ŞI INSTRUCŢIE ELEMENTARĂ DIN TERITORIUL PROVINCIEI AUTON</w:t>
      </w:r>
      <w:r w:rsidR="009B7247">
        <w:rPr>
          <w:rFonts w:ascii="Calibri" w:hAnsi="Calibri"/>
          <w:b/>
          <w:sz w:val="22"/>
          <w:szCs w:val="22"/>
        </w:rPr>
        <w:t xml:space="preserve">OME VOIVODINA PENTRU ANUL 2023 </w:t>
      </w:r>
    </w:p>
    <w:p w:rsidR="00D1291A" w:rsidRPr="005604D2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5604D2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5604D2" w:rsidRDefault="00F93FE3" w:rsidP="00F93FE3">
      <w:pPr>
        <w:pStyle w:val="BlockText"/>
        <w:ind w:left="142" w:right="-12" w:firstLine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</w:t>
      </w:r>
      <w:proofErr w:type="spellStart"/>
      <w:r>
        <w:rPr>
          <w:rFonts w:ascii="Calibri" w:hAnsi="Calibri"/>
          <w:sz w:val="22"/>
          <w:szCs w:val="22"/>
        </w:rPr>
        <w:t>stabileşte</w:t>
      </w:r>
      <w:proofErr w:type="spellEnd"/>
      <w:r>
        <w:rPr>
          <w:rFonts w:ascii="Calibri" w:hAnsi="Calibri"/>
          <w:sz w:val="22"/>
          <w:szCs w:val="22"/>
        </w:rPr>
        <w:t xml:space="preserve"> repartizarea mijloacelor bugetare ale 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către </w:t>
      </w:r>
      <w:proofErr w:type="spellStart"/>
      <w:r>
        <w:rPr>
          <w:rFonts w:ascii="Calibri" w:hAnsi="Calibri"/>
          <w:sz w:val="22"/>
          <w:szCs w:val="22"/>
        </w:rPr>
        <w:t>instituţiile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conform </w:t>
      </w:r>
      <w:r>
        <w:rPr>
          <w:rFonts w:ascii="Calibri" w:hAnsi="Calibri"/>
          <w:i/>
          <w:sz w:val="22"/>
          <w:szCs w:val="22"/>
        </w:rPr>
        <w:t xml:space="preserve">Concursului pentru </w:t>
      </w:r>
      <w:proofErr w:type="spellStart"/>
      <w:r>
        <w:rPr>
          <w:rFonts w:ascii="Calibri" w:hAnsi="Calibri"/>
          <w:i/>
          <w:sz w:val="22"/>
          <w:szCs w:val="22"/>
        </w:rPr>
        <w:t>finanţarea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cofinanţarea</w:t>
      </w:r>
      <w:proofErr w:type="spellEnd"/>
      <w:r>
        <w:rPr>
          <w:rFonts w:ascii="Calibri" w:hAnsi="Calibri"/>
          <w:i/>
          <w:sz w:val="22"/>
          <w:szCs w:val="22"/>
        </w:rPr>
        <w:t xml:space="preserve"> elaborării </w:t>
      </w:r>
      <w:proofErr w:type="spellStart"/>
      <w:r>
        <w:rPr>
          <w:rFonts w:ascii="Calibri" w:hAnsi="Calibri"/>
          <w:i/>
          <w:sz w:val="22"/>
          <w:szCs w:val="22"/>
        </w:rPr>
        <w:t>documentaţiei</w:t>
      </w:r>
      <w:proofErr w:type="spellEnd"/>
      <w:r>
        <w:rPr>
          <w:rFonts w:ascii="Calibri" w:hAnsi="Calibri"/>
          <w:i/>
          <w:sz w:val="22"/>
          <w:szCs w:val="22"/>
        </w:rPr>
        <w:t xml:space="preserve"> tehnice pentru nevoile </w:t>
      </w:r>
      <w:proofErr w:type="spellStart"/>
      <w:r>
        <w:rPr>
          <w:rFonts w:ascii="Calibri" w:hAnsi="Calibri"/>
          <w:i/>
          <w:sz w:val="22"/>
          <w:szCs w:val="22"/>
        </w:rPr>
        <w:t>instituţiilor</w:t>
      </w:r>
      <w:proofErr w:type="spellEnd"/>
      <w:r>
        <w:rPr>
          <w:rFonts w:ascii="Calibri" w:hAnsi="Calibri"/>
          <w:i/>
          <w:sz w:val="22"/>
          <w:szCs w:val="22"/>
        </w:rPr>
        <w:t xml:space="preserve"> de </w:t>
      </w:r>
      <w:proofErr w:type="spellStart"/>
      <w:r>
        <w:rPr>
          <w:rFonts w:ascii="Calibri" w:hAnsi="Calibri"/>
          <w:i/>
          <w:sz w:val="22"/>
          <w:szCs w:val="22"/>
        </w:rPr>
        <w:t>instrucţie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educaţie</w:t>
      </w:r>
      <w:proofErr w:type="spellEnd"/>
      <w:r>
        <w:rPr>
          <w:rFonts w:ascii="Calibri" w:hAnsi="Calibri"/>
          <w:i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medie din teritoriul Provinciei Autonome Voivodina pentru anul 2023, numărul 128-454-9/2023-04 din 22.02.2023 (în continuare: </w:t>
      </w:r>
      <w:r>
        <w:rPr>
          <w:rFonts w:ascii="Calibri" w:hAnsi="Calibri"/>
          <w:sz w:val="22"/>
          <w:szCs w:val="22"/>
        </w:rPr>
        <w:t>Concursul)</w:t>
      </w:r>
      <w:r>
        <w:rPr>
          <w:rFonts w:ascii="Calibri" w:hAnsi="Calibri"/>
          <w:i/>
          <w:sz w:val="22"/>
          <w:szCs w:val="22"/>
        </w:rPr>
        <w:t xml:space="preserve">, în partea </w:t>
      </w:r>
      <w:proofErr w:type="spellStart"/>
      <w:r>
        <w:rPr>
          <w:rFonts w:ascii="Calibri" w:hAnsi="Calibri"/>
          <w:i/>
          <w:sz w:val="22"/>
          <w:szCs w:val="22"/>
        </w:rPr>
        <w:t>învăţământului</w:t>
      </w:r>
      <w:proofErr w:type="spellEnd"/>
      <w:r>
        <w:rPr>
          <w:rFonts w:ascii="Calibri" w:hAnsi="Calibri"/>
          <w:i/>
          <w:sz w:val="22"/>
          <w:szCs w:val="22"/>
        </w:rPr>
        <w:t xml:space="preserve"> elementar</w:t>
      </w:r>
      <w:r>
        <w:rPr>
          <w:rFonts w:ascii="Calibri" w:hAnsi="Calibri"/>
          <w:sz w:val="22"/>
          <w:szCs w:val="22"/>
        </w:rPr>
        <w:t xml:space="preserve">. </w:t>
      </w:r>
    </w:p>
    <w:p w:rsidR="00D1291A" w:rsidRPr="005604D2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5604D2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1E054C" w:rsidRPr="005604D2" w:rsidRDefault="00D1291A" w:rsidP="001E054C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Prin concurs au fost destinate în total </w:t>
      </w:r>
      <w:r>
        <w:rPr>
          <w:rFonts w:ascii="Calibri" w:hAnsi="Calibri"/>
          <w:b/>
          <w:sz w:val="22"/>
          <w:szCs w:val="22"/>
        </w:rPr>
        <w:t>30.000.000,00 dinari</w:t>
      </w:r>
      <w:r>
        <w:rPr>
          <w:rFonts w:ascii="Calibri" w:hAnsi="Calibri"/>
          <w:sz w:val="22"/>
          <w:szCs w:val="22"/>
        </w:rPr>
        <w:t xml:space="preserve"> în cadrul cărora pentru nivelul educației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instrucției elementare </w:t>
      </w:r>
      <w:r>
        <w:rPr>
          <w:rFonts w:ascii="Calibri" w:hAnsi="Calibri"/>
          <w:b/>
          <w:sz w:val="22"/>
          <w:szCs w:val="22"/>
        </w:rPr>
        <w:t>20.000.000,00 dinari.</w:t>
      </w:r>
      <w:r>
        <w:rPr>
          <w:rFonts w:ascii="Calibri" w:hAnsi="Calibri"/>
          <w:sz w:val="22"/>
          <w:szCs w:val="22"/>
        </w:rPr>
        <w:t xml:space="preserve"> Prin prezenta decizie se repartizează mijloacele pentru </w:t>
      </w:r>
      <w:proofErr w:type="spellStart"/>
      <w:r>
        <w:rPr>
          <w:rFonts w:ascii="Calibri" w:hAnsi="Calibri"/>
          <w:sz w:val="22"/>
          <w:szCs w:val="22"/>
        </w:rPr>
        <w:t>instituţiile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învăţământ</w:t>
      </w:r>
      <w:proofErr w:type="spellEnd"/>
      <w:r>
        <w:rPr>
          <w:rFonts w:ascii="Calibri" w:hAnsi="Calibri"/>
          <w:sz w:val="22"/>
          <w:szCs w:val="22"/>
        </w:rPr>
        <w:t xml:space="preserve"> elementar în întregime.</w:t>
      </w:r>
    </w:p>
    <w:p w:rsidR="00D1291A" w:rsidRPr="005604D2" w:rsidRDefault="00D1291A" w:rsidP="008576E9">
      <w:pPr>
        <w:ind w:left="142" w:firstLine="566"/>
        <w:jc w:val="both"/>
        <w:rPr>
          <w:rFonts w:ascii="Calibri" w:hAnsi="Calibri"/>
          <w:sz w:val="20"/>
          <w:szCs w:val="20"/>
          <w:lang w:val="ru-RU"/>
        </w:rPr>
      </w:pPr>
    </w:p>
    <w:p w:rsidR="00D1291A" w:rsidRPr="005604D2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Mijloacele se aprobă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(în continuare: Beneficiarii) în conformitate cu tabelul anexat 1. </w:t>
      </w:r>
      <w:r>
        <w:rPr>
          <w:rFonts w:ascii="Calibri" w:hAnsi="Calibri"/>
          <w:b/>
          <w:sz w:val="22"/>
          <w:szCs w:val="22"/>
        </w:rPr>
        <w:t>REPARTIZAREA MIJLOACELOR PENTRU FINANŢAREA ŞI COFINANŢAREA ELABORĂRII DOCUMENTAȚIEI TEHNICE PENTRU NEVOILE  INSTITUŢIILOR DE EDUCAŢIE ŞI INSTRUCŢIE ELEMENTARĂ DIN TERITORIUL PROVINCIEI AUTONOME VOIVODINA PENTRU ANUL 2023</w:t>
      </w:r>
      <w:r>
        <w:rPr>
          <w:rFonts w:ascii="Calibri" w:hAnsi="Calibri"/>
          <w:sz w:val="22"/>
          <w:szCs w:val="22"/>
        </w:rPr>
        <w:t xml:space="preserve"> care este parte integrantă a prezentei decizii.</w:t>
      </w:r>
    </w:p>
    <w:p w:rsidR="00D1291A" w:rsidRPr="005604D2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9D274F" w:rsidRPr="005604D2" w:rsidRDefault="009D274F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9D274F" w:rsidRPr="005604D2" w:rsidRDefault="009D274F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5604D2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D1291A" w:rsidRPr="005604D2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Mijloacele prevăzute la punctul II din prezenta decizie sunt stabilite prin Hotărârea Adunării Provinciei privind bugetul Provinciei Autonome Voivodina pentru anul 2023, în cadrul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părţii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speciale Secretariatul Provincial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Educaţie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Administraţie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Minorităţile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Comunităţile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(în continuare: Secretariatul),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anume  la din Program 2003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Învăţământul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elementar, Activitatea de program 1006 – 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elementare, clasificarea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funcţională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910, clasificarea economică 4632 – Transferuri capitale altor niveluri ale puterii, sursa de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finanţare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se transferă beneficiarilor în conformitate cu afluența mijloacelor în bugetul P.A. Voivodina, respectiv cu posibilitățile de lichiditate ale bugetului.</w:t>
      </w:r>
    </w:p>
    <w:p w:rsidR="00D1291A" w:rsidRPr="005604D2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Pr="005604D2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Beneficiarii au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ca la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elaborării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documentaţiei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tehnice să procedeze în conformitate cu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dispoziţiile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Legii privind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actele adoptate în baza legii care reglementează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publice.</w:t>
      </w:r>
    </w:p>
    <w:p w:rsidR="00D1291A" w:rsidRPr="005604D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înştiinţa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beneficiarii cu privire la repartizarea mijloacelor stabilită prin prezenta decizie.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Pr="005604D2" w:rsidRDefault="00D1291A" w:rsidP="009D274F">
      <w:pPr>
        <w:pStyle w:val="BlockText"/>
        <w:ind w:left="187" w:right="-12" w:firstLine="522"/>
        <w:jc w:val="left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faţă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5604D2" w:rsidRDefault="00D1291A" w:rsidP="009D274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Prezenta decizie este definitivă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împotriva ei nu se poate depune cale de atac.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91A" w:rsidRPr="005604D2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Pentru executarea prezentei decizii este responsabil Sectorul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material–financiare al Secretariatului.</w:t>
      </w:r>
    </w:p>
    <w:p w:rsidR="00D1291A" w:rsidRPr="005604D2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5604D2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FE0351" w:rsidRPr="005604D2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Sectorului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material-</w:t>
      </w:r>
    </w:p>
    <w:p w:rsidR="00D1291A" w:rsidRPr="005604D2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D1291A" w:rsidRPr="005604D2" w:rsidRDefault="00D1291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Arhivei</w:t>
      </w:r>
    </w:p>
    <w:p w:rsidR="00FE0351" w:rsidRPr="005604D2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7743B8" w:rsidRPr="005604D2" w:rsidTr="00E17066">
        <w:tc>
          <w:tcPr>
            <w:tcW w:w="2598" w:type="dxa"/>
            <w:tcBorders>
              <w:bottom w:val="nil"/>
            </w:tcBorders>
          </w:tcPr>
          <w:p w:rsidR="007743B8" w:rsidRPr="005604D2" w:rsidRDefault="007743B8" w:rsidP="007743B8">
            <w:pPr>
              <w:spacing w:after="120"/>
              <w:ind w:left="283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</w:tc>
      </w:tr>
      <w:tr w:rsidR="007743B8" w:rsidRPr="005604D2" w:rsidTr="00E17066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743B8" w:rsidRPr="005604D2" w:rsidRDefault="007743B8" w:rsidP="007743B8">
            <w:pPr>
              <w:spacing w:after="12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7743B8" w:rsidRPr="007743B8" w:rsidTr="00E17066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7743B8" w:rsidRPr="005604D2" w:rsidRDefault="007743B8" w:rsidP="007743B8">
            <w:pPr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Zsolt</w:t>
            </w:r>
          </w:p>
          <w:p w:rsidR="007743B8" w:rsidRPr="007743B8" w:rsidRDefault="007743B8" w:rsidP="007743B8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10"/>
      <w:headerReference w:type="default" r:id="rId11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4D8" w:rsidRDefault="007A44D8">
      <w:r>
        <w:separator/>
      </w:r>
    </w:p>
  </w:endnote>
  <w:endnote w:type="continuationSeparator" w:id="0">
    <w:p w:rsidR="007A44D8" w:rsidRDefault="007A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4D8" w:rsidRDefault="007A44D8">
      <w:r>
        <w:separator/>
      </w:r>
    </w:p>
  </w:footnote>
  <w:footnote w:type="continuationSeparator" w:id="0">
    <w:p w:rsidR="007A44D8" w:rsidRDefault="007A4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2.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47301"/>
    <w:rsid w:val="00051045"/>
    <w:rsid w:val="00055640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45D2"/>
    <w:rsid w:val="0012487F"/>
    <w:rsid w:val="00132D30"/>
    <w:rsid w:val="00156793"/>
    <w:rsid w:val="00156E93"/>
    <w:rsid w:val="001647F0"/>
    <w:rsid w:val="00165069"/>
    <w:rsid w:val="001871F9"/>
    <w:rsid w:val="0018756D"/>
    <w:rsid w:val="001948FD"/>
    <w:rsid w:val="00194DA8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A7D00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31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6746"/>
    <w:rsid w:val="0052698F"/>
    <w:rsid w:val="00540176"/>
    <w:rsid w:val="00541125"/>
    <w:rsid w:val="00553800"/>
    <w:rsid w:val="0055754F"/>
    <w:rsid w:val="0055783B"/>
    <w:rsid w:val="005604D2"/>
    <w:rsid w:val="005752E4"/>
    <w:rsid w:val="00587087"/>
    <w:rsid w:val="0059185A"/>
    <w:rsid w:val="005D479F"/>
    <w:rsid w:val="005D75D3"/>
    <w:rsid w:val="005E012E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576E"/>
    <w:rsid w:val="007371FF"/>
    <w:rsid w:val="00757218"/>
    <w:rsid w:val="007609AB"/>
    <w:rsid w:val="007710C4"/>
    <w:rsid w:val="007743B8"/>
    <w:rsid w:val="00796FDE"/>
    <w:rsid w:val="00797CAE"/>
    <w:rsid w:val="007A44D8"/>
    <w:rsid w:val="007B12C0"/>
    <w:rsid w:val="007B422F"/>
    <w:rsid w:val="007C3A30"/>
    <w:rsid w:val="007D3825"/>
    <w:rsid w:val="007E599E"/>
    <w:rsid w:val="007E7FEA"/>
    <w:rsid w:val="007F0FD4"/>
    <w:rsid w:val="007F2179"/>
    <w:rsid w:val="00803548"/>
    <w:rsid w:val="00804AB9"/>
    <w:rsid w:val="00805895"/>
    <w:rsid w:val="00805BB5"/>
    <w:rsid w:val="008105D3"/>
    <w:rsid w:val="00815DA5"/>
    <w:rsid w:val="00816A3D"/>
    <w:rsid w:val="00833B1B"/>
    <w:rsid w:val="00833E76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7247"/>
    <w:rsid w:val="009C6D4B"/>
    <w:rsid w:val="009D274F"/>
    <w:rsid w:val="009D3210"/>
    <w:rsid w:val="009E0A0E"/>
    <w:rsid w:val="009E14C7"/>
    <w:rsid w:val="00A241E9"/>
    <w:rsid w:val="00A630E8"/>
    <w:rsid w:val="00A767F1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A66F9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B5ACB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84B54"/>
    <w:rsid w:val="00D9501C"/>
    <w:rsid w:val="00DA1D39"/>
    <w:rsid w:val="00DA25FA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D78FD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E37D55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ro-RO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ro-RO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E38DE-A38D-4997-A283-9514588DD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Florina Vinka</cp:lastModifiedBy>
  <cp:revision>4</cp:revision>
  <cp:lastPrinted>2022-10-27T10:07:00Z</cp:lastPrinted>
  <dcterms:created xsi:type="dcterms:W3CDTF">2023-05-16T09:59:00Z</dcterms:created>
  <dcterms:modified xsi:type="dcterms:W3CDTF">2023-05-16T10:57:00Z</dcterms:modified>
</cp:coreProperties>
</file>