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4906"/>
        <w:gridCol w:w="2957"/>
      </w:tblGrid>
      <w:tr w:rsidR="00097E79" w:rsidRPr="00BA4221">
        <w:trPr>
          <w:trHeight w:hRule="exact" w:val="1536"/>
        </w:trPr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5F5AC0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88" w:lineRule="exact"/>
              <w:jc w:val="center"/>
              <w:rPr>
                <w:sz w:val="22"/>
                <w:szCs w:val="22"/>
              </w:rPr>
            </w:pPr>
            <w:bookmarkStart w:id="0" w:name="_GoBack"/>
            <w:r w:rsidRPr="00BA4221">
              <w:rPr>
                <w:rStyle w:val="Bodytext2Calibri"/>
                <w:color w:val="000000"/>
                <w:sz w:val="22"/>
                <w:szCs w:val="22"/>
              </w:rPr>
              <w:t>RASPODJELA SREDSTAVA ZA FINANCIRANJE I SUFINANCIRANJE AKTIVNOSTI, PROGRAMA I PROJEKATA NACIONALNIH VIJEĆA NACIONALNIH MANJINA U PODRUČJU OSNOVNOG I SREDNJEG OBRAZOVANJA NA TERITORIJU APV ZA 2023. GODINU</w:t>
            </w:r>
          </w:p>
        </w:tc>
      </w:tr>
      <w:tr w:rsidR="00097E79" w:rsidRPr="00BA4221">
        <w:trPr>
          <w:trHeight w:hRule="exact" w:val="710"/>
        </w:trPr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5F5AC0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OSNOVNO OBRAZOVANJE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R. br.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1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Nacionalno vijeće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5F5AC0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Dodijeljena sredstva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1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mađarske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197.726,78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2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slovačke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114.777,80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3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rusinske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118.972,88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4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rumunjske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126.893,12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5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hrvatske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141.629,42</w:t>
            </w:r>
          </w:p>
        </w:tc>
      </w:tr>
      <w:tr w:rsidR="00097E79" w:rsidRPr="00BA4221">
        <w:trPr>
          <w:trHeight w:hRule="exact" w:val="456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10" w:lineRule="exact"/>
              <w:ind w:right="323"/>
              <w:jc w:val="right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6965" w:wrap="none" w:vAnchor="page" w:hAnchor="page" w:x="1321" w:y="510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700.000,00</w:t>
            </w: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4906"/>
        <w:gridCol w:w="2957"/>
      </w:tblGrid>
      <w:tr w:rsidR="00097E79" w:rsidRPr="00BA4221">
        <w:trPr>
          <w:trHeight w:hRule="exact" w:val="720"/>
        </w:trPr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5F5AC0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SREDNJE OBRAZOVANJE</w:t>
            </w:r>
          </w:p>
        </w:tc>
      </w:tr>
      <w:tr w:rsidR="00097E79" w:rsidRPr="00BA4221" w:rsidTr="00BA4221">
        <w:trPr>
          <w:trHeight w:hRule="exact"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R. br.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1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Nacionalno vijeće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Dodijeljena sredstva</w:t>
            </w:r>
          </w:p>
        </w:tc>
      </w:tr>
      <w:tr w:rsidR="00097E79" w:rsidRPr="00BA4221" w:rsidTr="00BA4221">
        <w:trPr>
          <w:trHeight w:hRule="exact" w:val="7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1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mađarske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135.558,71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2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slovačke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32.024,70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3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rusinske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28.783,62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4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93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rumunjske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36.902,53</w:t>
            </w:r>
          </w:p>
        </w:tc>
      </w:tr>
      <w:tr w:rsidR="00097E79" w:rsidRPr="00BA4221" w:rsidTr="00BA4221">
        <w:trPr>
          <w:trHeight w:hRule="exact" w:val="7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5</w:t>
            </w:r>
            <w:r w:rsidR="00BA4221">
              <w:rPr>
                <w:rStyle w:val="Bodytext2Calibri1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ind w:left="188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Nacionalno vijeće hrvatske nacionalne manjine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1"/>
                <w:color w:val="000000"/>
                <w:sz w:val="22"/>
                <w:szCs w:val="22"/>
              </w:rPr>
              <w:t>66.730,44</w:t>
            </w:r>
          </w:p>
        </w:tc>
      </w:tr>
      <w:tr w:rsidR="00097E79" w:rsidRPr="00BA4221">
        <w:trPr>
          <w:trHeight w:hRule="exact" w:val="451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E79" w:rsidRPr="00BA4221" w:rsidRDefault="005F5AC0" w:rsidP="00BA4221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10" w:lineRule="exact"/>
              <w:ind w:right="323"/>
              <w:jc w:val="right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E79" w:rsidRPr="00BA4221" w:rsidRDefault="00097E79">
            <w:pPr>
              <w:pStyle w:val="Bodytext20"/>
              <w:framePr w:w="8798" w:h="5434" w:wrap="none" w:vAnchor="page" w:hAnchor="page" w:x="1321" w:y="768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BA4221">
              <w:rPr>
                <w:rStyle w:val="Bodytext2Calibri"/>
                <w:color w:val="000000"/>
                <w:sz w:val="22"/>
                <w:szCs w:val="22"/>
              </w:rPr>
              <w:t>300.000,00</w:t>
            </w:r>
          </w:p>
        </w:tc>
      </w:tr>
      <w:bookmarkEnd w:id="0"/>
    </w:tbl>
    <w:p w:rsidR="00097E79" w:rsidRPr="005F5AC0" w:rsidRDefault="00097E79">
      <w:pPr>
        <w:rPr>
          <w:color w:val="auto"/>
          <w:sz w:val="2"/>
          <w:szCs w:val="2"/>
          <w:lang w:eastAsia="sr-Latn-RS"/>
        </w:rPr>
      </w:pPr>
    </w:p>
    <w:sectPr w:rsidR="00097E79" w:rsidRPr="005F5AC0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C0"/>
    <w:rsid w:val="00097E79"/>
    <w:rsid w:val="00407D88"/>
    <w:rsid w:val="005F5AC0"/>
    <w:rsid w:val="00B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A4C0EB-122B-4749-9837-29F782FA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Calibri">
    <w:name w:val="Body text (2) + Calibri"/>
    <w:aliases w:val="10.5 pt,Bold"/>
    <w:basedOn w:val="Bodytext2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2Calibri1">
    <w:name w:val="Body text (2) + Calibri1"/>
    <w:basedOn w:val="Bodytext2"/>
    <w:uiPriority w:val="99"/>
    <w:rPr>
      <w:rFonts w:ascii="Calibri" w:hAnsi="Calibri" w:cs="Calibri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Hrvoje Kenjerić</cp:lastModifiedBy>
  <cp:revision>4</cp:revision>
  <dcterms:created xsi:type="dcterms:W3CDTF">2023-10-12T12:54:00Z</dcterms:created>
  <dcterms:modified xsi:type="dcterms:W3CDTF">2023-10-12T13:13:00Z</dcterms:modified>
</cp:coreProperties>
</file>