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Pr>
                <w:rFonts w:ascii="Calibri" w:hAnsi="Calibr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educație, cooperare, afirmare și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email: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educaţie, cooperare, afirmare şi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8" w:history="1">
              <w:r>
                <w:rPr>
                  <w:rStyle w:val="Hyperlink"/>
                  <w:rFonts w:ascii="Calibri" w:hAnsi="Calibri"/>
                  <w:sz w:val="18"/>
                  <w:szCs w:val="18"/>
                </w:rPr>
                <w:t>www.fesap.org.rs</w:t>
              </w:r>
            </w:hyperlink>
            <w:r>
              <w:rPr>
                <w:rFonts w:ascii="Calibri" w:hAnsi="Calibri"/>
                <w:sz w:val="18"/>
                <w:szCs w:val="18"/>
              </w:rPr>
              <w:t xml:space="preserve">    е-mail: </w:t>
            </w:r>
            <w:hyperlink r:id="rId9"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tc>
      </w:tr>
    </w:tbl>
    <w:p w:rsidR="00CB7FBE" w:rsidRPr="00FF3EB0" w:rsidRDefault="00CB7FBE" w:rsidP="00CB7FBE">
      <w:pPr>
        <w:ind w:firstLine="708"/>
        <w:jc w:val="both"/>
        <w:rPr>
          <w:rFonts w:asciiTheme="minorHAnsi" w:hAnsiTheme="minorHAnsi"/>
          <w:bCs/>
          <w:noProof/>
          <w:sz w:val="18"/>
          <w:szCs w:val="18"/>
        </w:rPr>
      </w:pPr>
      <w:r>
        <w:rPr>
          <w:rFonts w:asciiTheme="minorHAnsi" w:hAnsiTheme="minorHAnsi"/>
          <w:bCs/>
          <w:sz w:val="18"/>
          <w:szCs w:val="18"/>
        </w:rPr>
        <w:t>Numărul 5</w:t>
      </w:r>
      <w:r w:rsidR="00C24091">
        <w:rPr>
          <w:rFonts w:asciiTheme="minorHAnsi" w:hAnsiTheme="minorHAnsi"/>
          <w:bCs/>
          <w:sz w:val="18"/>
          <w:szCs w:val="18"/>
        </w:rPr>
        <w:t>2/2024</w:t>
      </w:r>
      <w:r w:rsidR="00C24091">
        <w:rPr>
          <w:rFonts w:asciiTheme="minorHAnsi" w:hAnsiTheme="minorHAnsi"/>
          <w:bCs/>
          <w:sz w:val="18"/>
          <w:szCs w:val="18"/>
        </w:rPr>
        <w:tab/>
      </w:r>
      <w:r w:rsidR="00C24091">
        <w:rPr>
          <w:rFonts w:asciiTheme="minorHAnsi" w:hAnsiTheme="minorHAnsi"/>
          <w:bCs/>
          <w:sz w:val="18"/>
          <w:szCs w:val="18"/>
        </w:rPr>
        <w:tab/>
      </w:r>
      <w:r w:rsidR="00C24091">
        <w:rPr>
          <w:rFonts w:asciiTheme="minorHAnsi" w:hAnsiTheme="minorHAnsi"/>
          <w:bCs/>
          <w:sz w:val="18"/>
          <w:szCs w:val="18"/>
        </w:rPr>
        <w:tab/>
        <w:t>Data: 12.12.2024</w:t>
      </w:r>
    </w:p>
    <w:p w:rsidR="00CB7FBE" w:rsidRPr="00D1096B" w:rsidRDefault="00CB7FBE" w:rsidP="00CB7FBE">
      <w:pPr>
        <w:jc w:val="both"/>
        <w:rPr>
          <w:rFonts w:asciiTheme="minorHAnsi" w:hAnsiTheme="minorHAnsi"/>
          <w:bCs/>
          <w:noProof/>
          <w:sz w:val="22"/>
          <w:szCs w:val="22"/>
          <w:lang w:val="sr-Cyrl-RS"/>
        </w:rPr>
      </w:pPr>
    </w:p>
    <w:p w:rsidR="00CB7FBE" w:rsidRDefault="00CB7FBE" w:rsidP="00CB7FBE">
      <w:pPr>
        <w:jc w:val="both"/>
        <w:rPr>
          <w:rFonts w:asciiTheme="minorHAnsi" w:hAnsiTheme="minorHAnsi"/>
          <w:bCs/>
          <w:noProof/>
          <w:sz w:val="22"/>
          <w:szCs w:val="22"/>
        </w:rPr>
      </w:pPr>
      <w:r>
        <w:rPr>
          <w:rFonts w:asciiTheme="minorHAnsi" w:hAnsiTheme="minorHAnsi"/>
          <w:bCs/>
          <w:sz w:val="22"/>
          <w:szCs w:val="22"/>
        </w:rPr>
        <w:t>În baza deciziei privind repartizarea mijloacelor bugetare conform Concursului public pentru cofinanţarea subproiectului „Multiculturalismul pe clic” numărul 000146006 2024 09427 005 000 000  001 din 22 aprilie 2024, precum și a propunerii comisiei de concurs pentru examinarea, evaluarea, și punctajul cererilor prezentate la Concursul pentru alegerea lucrării de artă plastică pe tema „Două Crăciunuri - o familie”, din Procesul-verbal nr. 50/2024 din 12.12.2024, preşedinta Consiliului de administraţie al Forumului pentru educație, cooperare, afirmare și sprijin societăţii civice (în continuare: FESAP) din Novi Sad, emite</w:t>
      </w:r>
    </w:p>
    <w:p w:rsidR="002460E3" w:rsidRPr="002460E3" w:rsidRDefault="002460E3" w:rsidP="00CB7FBE">
      <w:pPr>
        <w:jc w:val="both"/>
        <w:rPr>
          <w:rFonts w:asciiTheme="minorHAnsi" w:hAnsiTheme="minorHAnsi"/>
          <w:bCs/>
          <w:noProof/>
          <w:sz w:val="22"/>
          <w:szCs w:val="22"/>
          <w:lang w:val="sr-Cyrl-CS"/>
        </w:rPr>
      </w:pPr>
    </w:p>
    <w:p w:rsidR="00CB7FBE" w:rsidRPr="002460E3" w:rsidRDefault="00CB7FBE" w:rsidP="00CB7FBE">
      <w:pPr>
        <w:jc w:val="center"/>
        <w:rPr>
          <w:rFonts w:asciiTheme="minorHAnsi" w:hAnsiTheme="minorHAnsi"/>
          <w:b/>
          <w:bCs/>
          <w:noProof/>
          <w:sz w:val="22"/>
          <w:szCs w:val="22"/>
        </w:rPr>
      </w:pPr>
      <w:r>
        <w:rPr>
          <w:rFonts w:asciiTheme="minorHAnsi" w:hAnsiTheme="minorHAnsi"/>
          <w:b/>
          <w:bCs/>
          <w:sz w:val="22"/>
          <w:szCs w:val="22"/>
        </w:rPr>
        <w:t>Decizia</w:t>
      </w:r>
    </w:p>
    <w:p w:rsidR="00CB7FBE" w:rsidRPr="002460E3" w:rsidRDefault="00CB7FBE" w:rsidP="00CB7FBE">
      <w:pPr>
        <w:jc w:val="center"/>
        <w:rPr>
          <w:rFonts w:asciiTheme="minorHAnsi" w:hAnsiTheme="minorHAnsi"/>
          <w:b/>
          <w:bCs/>
          <w:noProof/>
          <w:sz w:val="22"/>
          <w:szCs w:val="22"/>
        </w:rPr>
      </w:pPr>
      <w:r>
        <w:rPr>
          <w:rFonts w:asciiTheme="minorHAnsi" w:hAnsiTheme="minorHAnsi"/>
          <w:b/>
          <w:bCs/>
          <w:sz w:val="22"/>
          <w:szCs w:val="22"/>
        </w:rPr>
        <w:t xml:space="preserve">privind alegerea lucrărilor premiate la Concurs pentru alegerea lucrării de artă plastică pe tema „Două Crăciunuri - o familie”      </w:t>
      </w:r>
    </w:p>
    <w:p w:rsidR="00CB7FBE" w:rsidRPr="002460E3" w:rsidRDefault="00CA546E" w:rsidP="00CB7FBE">
      <w:pPr>
        <w:jc w:val="center"/>
        <w:rPr>
          <w:rFonts w:asciiTheme="minorHAnsi" w:hAnsiTheme="minorHAnsi"/>
          <w:b/>
          <w:bCs/>
          <w:noProof/>
          <w:sz w:val="22"/>
          <w:szCs w:val="22"/>
        </w:rPr>
      </w:pPr>
      <w:r>
        <w:rPr>
          <w:rFonts w:asciiTheme="minorHAnsi" w:hAnsiTheme="minorHAnsi"/>
          <w:b/>
          <w:bCs/>
          <w:sz w:val="22"/>
          <w:szCs w:val="22"/>
        </w:rPr>
        <w:t xml:space="preserve"> </w:t>
      </w:r>
    </w:p>
    <w:p w:rsidR="00CB7FBE" w:rsidRPr="002460E3" w:rsidRDefault="00CB7FBE" w:rsidP="00CB7FBE">
      <w:pPr>
        <w:jc w:val="center"/>
        <w:rPr>
          <w:rFonts w:asciiTheme="minorHAnsi" w:hAnsiTheme="minorHAnsi"/>
          <w:b/>
          <w:noProof/>
          <w:sz w:val="22"/>
          <w:szCs w:val="22"/>
        </w:rPr>
      </w:pPr>
      <w:r>
        <w:rPr>
          <w:rFonts w:asciiTheme="minorHAnsi" w:hAnsiTheme="minorHAnsi"/>
          <w:b/>
          <w:sz w:val="22"/>
          <w:szCs w:val="22"/>
        </w:rPr>
        <w:t>I</w:t>
      </w:r>
    </w:p>
    <w:p w:rsidR="00CB7FBE" w:rsidRPr="002460E3" w:rsidRDefault="00CB7FBE" w:rsidP="00CB7FBE">
      <w:pPr>
        <w:jc w:val="center"/>
        <w:rPr>
          <w:rFonts w:asciiTheme="minorHAnsi" w:hAnsiTheme="minorHAnsi"/>
          <w:b/>
          <w:noProof/>
          <w:sz w:val="22"/>
          <w:szCs w:val="22"/>
          <w:lang w:val="sr-Latn-RS"/>
        </w:rPr>
      </w:pPr>
    </w:p>
    <w:p w:rsidR="00CB7FBE" w:rsidRPr="002460E3"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În baza Concursului public pentru cofinanţarea subproiectului „Multiculturalismul pe clic”,  publicat la data de 14.11.2024 sub numărul</w:t>
      </w:r>
      <w:r>
        <w:rPr>
          <w:rFonts w:ascii="Calibri" w:hAnsi="Calibri"/>
          <w:sz w:val="22"/>
          <w:szCs w:val="22"/>
        </w:rPr>
        <w:t xml:space="preserve"> </w:t>
      </w:r>
      <w:r>
        <w:rPr>
          <w:rFonts w:asciiTheme="minorHAnsi" w:hAnsiTheme="minorHAnsi"/>
          <w:bCs/>
          <w:sz w:val="22"/>
          <w:szCs w:val="22"/>
        </w:rPr>
        <w:t>000146006  2024 09427 005 000 000  001 care a fost publicat în „Buletinul oficial al P.A. Voivodina” numărul 6/2024, la data de 29.01.2024, precum și a Concursulului pentru alegerea lucrării de artă plastică pe tema „Două Crăciunuri - o familie”, pe care FESAP l-a publicat pe site-ul său și pe site-ul Secretariatului Provincial pentru Educație, Reglementări, Administrație și Minoritățile Naționale - Comunitățile Naționale (în continuare: Secretariatul) la data de 14.11.2024, după examinarea cererilor valide şi sosite la timp, Comisia prin adoptarea procesului-verbal numărul 50/2024 din 12.11.2024, a stabilit următoarea listă de lucrări premiate:</w:t>
      </w:r>
    </w:p>
    <w:tbl>
      <w:tblPr>
        <w:tblpPr w:leftFromText="180" w:rightFromText="180" w:vertAnchor="text" w:horzAnchor="margin" w:tblpXSpec="center" w:tblpY="181"/>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00"/>
        <w:gridCol w:w="1170"/>
        <w:gridCol w:w="810"/>
        <w:gridCol w:w="1710"/>
        <w:gridCol w:w="1890"/>
        <w:gridCol w:w="3060"/>
      </w:tblGrid>
      <w:tr w:rsidR="00942C48" w:rsidRPr="00ED2BED" w:rsidTr="00942C48">
        <w:tc>
          <w:tcPr>
            <w:tcW w:w="787" w:type="dxa"/>
            <w:shd w:val="clear" w:color="auto" w:fill="FBE4D5"/>
          </w:tcPr>
          <w:p w:rsidR="00942C48" w:rsidRDefault="00942C48" w:rsidP="00942C48">
            <w:pPr>
              <w:pStyle w:val="BodyTextIndent"/>
              <w:spacing w:after="0"/>
              <w:ind w:left="0"/>
              <w:jc w:val="center"/>
              <w:rPr>
                <w:rFonts w:cs="Arial"/>
                <w:sz w:val="17"/>
                <w:szCs w:val="17"/>
              </w:rPr>
            </w:pPr>
            <w:r>
              <w:rPr>
                <w:sz w:val="17"/>
                <w:szCs w:val="17"/>
              </w:rPr>
              <w:t>Nr.crt.</w:t>
            </w:r>
          </w:p>
          <w:p w:rsidR="00942C48" w:rsidRPr="00ED2BED" w:rsidRDefault="00942C48" w:rsidP="00942C48">
            <w:pPr>
              <w:pStyle w:val="BodyTextIndent"/>
              <w:spacing w:after="0"/>
              <w:ind w:left="0"/>
              <w:jc w:val="center"/>
              <w:rPr>
                <w:rFonts w:cs="Arial"/>
                <w:sz w:val="17"/>
                <w:szCs w:val="17"/>
              </w:rPr>
            </w:pPr>
            <w:r>
              <w:rPr>
                <w:sz w:val="17"/>
                <w:szCs w:val="17"/>
              </w:rPr>
              <w:t>de clasament</w:t>
            </w:r>
          </w:p>
        </w:tc>
        <w:tc>
          <w:tcPr>
            <w:tcW w:w="180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Prenumele şi numele elevului</w:t>
            </w:r>
          </w:p>
        </w:tc>
        <w:tc>
          <w:tcPr>
            <w:tcW w:w="117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Localitatea</w:t>
            </w:r>
          </w:p>
        </w:tc>
        <w:tc>
          <w:tcPr>
            <w:tcW w:w="81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Numărul de puncte</w:t>
            </w:r>
          </w:p>
        </w:tc>
        <w:tc>
          <w:tcPr>
            <w:tcW w:w="171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Denumirea lucrării</w:t>
            </w:r>
          </w:p>
        </w:tc>
        <w:tc>
          <w:tcPr>
            <w:tcW w:w="189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Şcoala</w:t>
            </w:r>
          </w:p>
        </w:tc>
        <w:tc>
          <w:tcPr>
            <w:tcW w:w="306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Premiul</w:t>
            </w:r>
          </w:p>
        </w:tc>
      </w:tr>
      <w:tr w:rsidR="00942C48" w:rsidRPr="00ED2BED" w:rsidTr="00942C48">
        <w:trPr>
          <w:trHeight w:val="746"/>
        </w:trPr>
        <w:tc>
          <w:tcPr>
            <w:tcW w:w="787" w:type="dxa"/>
            <w:shd w:val="clear" w:color="auto" w:fill="auto"/>
          </w:tcPr>
          <w:p w:rsidR="00942C48" w:rsidRPr="009B4816" w:rsidRDefault="00942C48" w:rsidP="00942C48">
            <w:pPr>
              <w:pStyle w:val="BodyTextIndent"/>
              <w:spacing w:after="0"/>
              <w:ind w:left="0"/>
              <w:jc w:val="left"/>
              <w:rPr>
                <w:rFonts w:cs="Arial"/>
                <w:sz w:val="17"/>
                <w:szCs w:val="17"/>
              </w:rPr>
            </w:pPr>
            <w:r>
              <w:rPr>
                <w:sz w:val="17"/>
                <w:szCs w:val="17"/>
              </w:rPr>
              <w:t>1</w:t>
            </w:r>
          </w:p>
        </w:tc>
        <w:tc>
          <w:tcPr>
            <w:tcW w:w="1800" w:type="dxa"/>
            <w:shd w:val="clear" w:color="auto" w:fill="auto"/>
          </w:tcPr>
          <w:p w:rsidR="00942C48" w:rsidRDefault="00942C48" w:rsidP="00942C48">
            <w:pPr>
              <w:spacing w:after="120"/>
              <w:jc w:val="center"/>
              <w:rPr>
                <w:rFonts w:cs="Arial"/>
                <w:noProof/>
                <w:sz w:val="18"/>
                <w:szCs w:val="18"/>
                <w:lang w:val="sr-Cyrl-RS"/>
              </w:rPr>
            </w:pPr>
          </w:p>
          <w:p w:rsidR="00942C48" w:rsidRPr="00F3173A" w:rsidRDefault="00942C48" w:rsidP="00942C48">
            <w:pPr>
              <w:spacing w:after="120"/>
              <w:jc w:val="center"/>
              <w:rPr>
                <w:rFonts w:cs="Arial"/>
                <w:noProof/>
                <w:sz w:val="18"/>
                <w:szCs w:val="18"/>
              </w:rPr>
            </w:pPr>
            <w:r>
              <w:rPr>
                <w:sz w:val="18"/>
                <w:szCs w:val="18"/>
              </w:rPr>
              <w:t>Kristina Ramač</w:t>
            </w:r>
          </w:p>
        </w:tc>
        <w:tc>
          <w:tcPr>
            <w:tcW w:w="1170" w:type="dxa"/>
          </w:tcPr>
          <w:p w:rsidR="00942C48" w:rsidRDefault="00942C48" w:rsidP="00942C48">
            <w:pPr>
              <w:jc w:val="center"/>
              <w:rPr>
                <w:rFonts w:cs="Arial"/>
                <w:noProof/>
                <w:sz w:val="18"/>
                <w:szCs w:val="18"/>
                <w:lang w:val="sr-Cyrl-RS"/>
              </w:rPr>
            </w:pPr>
          </w:p>
          <w:p w:rsidR="00942C48" w:rsidRPr="00087F0B" w:rsidRDefault="00942C48" w:rsidP="00942C48">
            <w:pPr>
              <w:jc w:val="center"/>
              <w:rPr>
                <w:rFonts w:cs="Arial"/>
                <w:noProof/>
                <w:sz w:val="18"/>
                <w:szCs w:val="18"/>
              </w:rPr>
            </w:pPr>
            <w:r>
              <w:rPr>
                <w:sz w:val="18"/>
                <w:szCs w:val="18"/>
              </w:rPr>
              <w:t>Ruski Krstur</w:t>
            </w:r>
          </w:p>
          <w:p w:rsidR="00942C48" w:rsidRPr="00D60E4F" w:rsidRDefault="00942C48" w:rsidP="00942C48">
            <w:pPr>
              <w:jc w:val="center"/>
              <w:rPr>
                <w:rFonts w:cs="Arial"/>
                <w:noProof/>
                <w:sz w:val="18"/>
                <w:szCs w:val="18"/>
                <w:lang w:val="sr-Cyrl-RS"/>
              </w:rPr>
            </w:pPr>
          </w:p>
        </w:tc>
        <w:tc>
          <w:tcPr>
            <w:tcW w:w="810" w:type="dxa"/>
            <w:shd w:val="clear" w:color="auto" w:fill="auto"/>
          </w:tcPr>
          <w:p w:rsidR="00942C48" w:rsidRPr="00D60E4F" w:rsidRDefault="00942C48" w:rsidP="00942C48">
            <w:pPr>
              <w:jc w:val="center"/>
              <w:rPr>
                <w:rFonts w:cs="Arial"/>
                <w:noProof/>
                <w:sz w:val="18"/>
                <w:szCs w:val="18"/>
                <w:lang w:val="sr-Cyrl-RS"/>
              </w:rPr>
            </w:pPr>
          </w:p>
          <w:p w:rsidR="00942C48" w:rsidRPr="00D60E4F" w:rsidRDefault="00942C48" w:rsidP="00942C48">
            <w:pPr>
              <w:jc w:val="center"/>
              <w:rPr>
                <w:rFonts w:cs="Arial"/>
                <w:noProof/>
                <w:sz w:val="18"/>
                <w:szCs w:val="18"/>
              </w:rPr>
            </w:pPr>
            <w:r>
              <w:rPr>
                <w:sz w:val="18"/>
                <w:szCs w:val="18"/>
              </w:rPr>
              <w:t>21</w:t>
            </w:r>
          </w:p>
        </w:tc>
        <w:tc>
          <w:tcPr>
            <w:tcW w:w="1710" w:type="dxa"/>
          </w:tcPr>
          <w:p w:rsidR="00942C48" w:rsidRPr="00D60E4F" w:rsidRDefault="00942C48" w:rsidP="00942C48">
            <w:pPr>
              <w:jc w:val="center"/>
              <w:rPr>
                <w:rFonts w:cs="Arial"/>
                <w:noProof/>
                <w:sz w:val="18"/>
                <w:szCs w:val="18"/>
                <w:lang w:val="sr-Cyrl-RS"/>
              </w:rPr>
            </w:pPr>
          </w:p>
          <w:p w:rsidR="00942C48" w:rsidRPr="00A26E5D" w:rsidRDefault="00942C48" w:rsidP="00942C48">
            <w:pPr>
              <w:jc w:val="center"/>
              <w:rPr>
                <w:rFonts w:cs="Arial"/>
                <w:noProof/>
                <w:sz w:val="18"/>
                <w:szCs w:val="18"/>
              </w:rPr>
            </w:pPr>
            <w:r>
              <w:rPr>
                <w:sz w:val="18"/>
                <w:szCs w:val="18"/>
              </w:rPr>
              <w:t>Două Crăciunuri - o familie</w:t>
            </w:r>
          </w:p>
        </w:tc>
        <w:tc>
          <w:tcPr>
            <w:tcW w:w="1890" w:type="dxa"/>
            <w:shd w:val="clear" w:color="auto" w:fill="auto"/>
          </w:tcPr>
          <w:p w:rsidR="00942C48" w:rsidRDefault="00942C48" w:rsidP="00942C48">
            <w:pPr>
              <w:jc w:val="center"/>
              <w:rPr>
                <w:rFonts w:cs="Arial"/>
                <w:noProof/>
                <w:sz w:val="18"/>
                <w:szCs w:val="18"/>
                <w:lang w:val="sr-Cyrl-RS"/>
              </w:rPr>
            </w:pPr>
          </w:p>
          <w:p w:rsidR="00942C48" w:rsidRPr="00D60E4F" w:rsidRDefault="00942C48" w:rsidP="00942C48">
            <w:pPr>
              <w:jc w:val="center"/>
              <w:rPr>
                <w:rFonts w:cs="Arial"/>
                <w:noProof/>
                <w:sz w:val="18"/>
                <w:szCs w:val="18"/>
              </w:rPr>
            </w:pPr>
            <w:r>
              <w:rPr>
                <w:sz w:val="18"/>
                <w:szCs w:val="18"/>
              </w:rPr>
              <w:t>ȘE Petro Kuzmjak</w:t>
            </w:r>
          </w:p>
        </w:tc>
        <w:tc>
          <w:tcPr>
            <w:tcW w:w="3060" w:type="dxa"/>
            <w:shd w:val="clear" w:color="auto" w:fill="auto"/>
          </w:tcPr>
          <w:p w:rsidR="00942C48" w:rsidRPr="00D60E4F" w:rsidRDefault="00942C48" w:rsidP="00942C48">
            <w:pPr>
              <w:jc w:val="center"/>
              <w:rPr>
                <w:rFonts w:cs="Arial"/>
                <w:noProof/>
                <w:sz w:val="18"/>
                <w:szCs w:val="18"/>
              </w:rPr>
            </w:pPr>
            <w:r>
              <w:rPr>
                <w:rFonts w:ascii="Calibri" w:hAnsi="Calibri"/>
                <w:sz w:val="20"/>
                <w:szCs w:val="20"/>
              </w:rPr>
              <w:t>Telefon mobil Xiaomi note 13 pro Lite 5G NE EU 8+128 Truffle Black</w:t>
            </w:r>
          </w:p>
        </w:tc>
      </w:tr>
      <w:tr w:rsidR="00942C48" w:rsidRPr="00ED2BED" w:rsidTr="00942C48">
        <w:trPr>
          <w:trHeight w:val="692"/>
        </w:trPr>
        <w:tc>
          <w:tcPr>
            <w:tcW w:w="787" w:type="dxa"/>
            <w:shd w:val="clear" w:color="auto" w:fill="auto"/>
          </w:tcPr>
          <w:p w:rsidR="00942C48" w:rsidRPr="009B4816" w:rsidRDefault="00942C48" w:rsidP="00942C48">
            <w:pPr>
              <w:pStyle w:val="BodyTextIndent"/>
              <w:spacing w:after="0"/>
              <w:ind w:left="0"/>
              <w:rPr>
                <w:rFonts w:cs="Arial"/>
                <w:sz w:val="17"/>
                <w:szCs w:val="17"/>
              </w:rPr>
            </w:pPr>
            <w:r>
              <w:rPr>
                <w:sz w:val="17"/>
                <w:szCs w:val="17"/>
              </w:rPr>
              <w:t>2</w:t>
            </w:r>
          </w:p>
        </w:tc>
        <w:tc>
          <w:tcPr>
            <w:tcW w:w="1800" w:type="dxa"/>
            <w:shd w:val="clear" w:color="auto" w:fill="auto"/>
          </w:tcPr>
          <w:p w:rsidR="00942C48" w:rsidRDefault="00942C48" w:rsidP="00942C48">
            <w:pPr>
              <w:jc w:val="center"/>
              <w:rPr>
                <w:rFonts w:cs="Arial"/>
                <w:noProof/>
                <w:sz w:val="18"/>
                <w:szCs w:val="18"/>
                <w:lang w:val="sr-Cyrl-RS"/>
              </w:rPr>
            </w:pPr>
          </w:p>
          <w:p w:rsidR="00942C48" w:rsidRPr="00D60E4F" w:rsidRDefault="00942C48" w:rsidP="00942C48">
            <w:pPr>
              <w:jc w:val="center"/>
              <w:rPr>
                <w:rFonts w:cs="Arial"/>
                <w:noProof/>
                <w:sz w:val="18"/>
                <w:szCs w:val="18"/>
              </w:rPr>
            </w:pPr>
            <w:r>
              <w:rPr>
                <w:sz w:val="18"/>
                <w:szCs w:val="18"/>
              </w:rPr>
              <w:t>Dunja Dulić</w:t>
            </w:r>
          </w:p>
        </w:tc>
        <w:tc>
          <w:tcPr>
            <w:tcW w:w="1170" w:type="dxa"/>
          </w:tcPr>
          <w:p w:rsidR="00942C48" w:rsidRDefault="00942C48" w:rsidP="00942C48">
            <w:pPr>
              <w:jc w:val="center"/>
              <w:rPr>
                <w:rFonts w:cs="Arial"/>
                <w:noProof/>
                <w:sz w:val="18"/>
                <w:szCs w:val="18"/>
                <w:lang w:val="sr-Cyrl-RS"/>
              </w:rPr>
            </w:pPr>
          </w:p>
          <w:p w:rsidR="00942C48" w:rsidRPr="00D60E4F" w:rsidRDefault="00942C48" w:rsidP="00942C48">
            <w:pPr>
              <w:jc w:val="center"/>
              <w:rPr>
                <w:rFonts w:cs="Arial"/>
                <w:noProof/>
                <w:sz w:val="18"/>
                <w:szCs w:val="18"/>
              </w:rPr>
            </w:pPr>
            <w:r>
              <w:rPr>
                <w:sz w:val="18"/>
                <w:szCs w:val="18"/>
              </w:rPr>
              <w:t>Subotica</w:t>
            </w:r>
          </w:p>
        </w:tc>
        <w:tc>
          <w:tcPr>
            <w:tcW w:w="810" w:type="dxa"/>
            <w:shd w:val="clear" w:color="auto" w:fill="auto"/>
          </w:tcPr>
          <w:p w:rsidR="00942C48" w:rsidRDefault="00942C48" w:rsidP="00942C48">
            <w:pPr>
              <w:jc w:val="center"/>
              <w:rPr>
                <w:rFonts w:cs="Arial"/>
                <w:noProof/>
                <w:sz w:val="18"/>
                <w:szCs w:val="18"/>
                <w:lang w:val="sr-Cyrl-RS"/>
              </w:rPr>
            </w:pPr>
          </w:p>
          <w:p w:rsidR="00942C48" w:rsidRPr="00D60E4F" w:rsidRDefault="00942C48" w:rsidP="00942C48">
            <w:pPr>
              <w:jc w:val="center"/>
              <w:rPr>
                <w:rFonts w:cs="Arial"/>
                <w:noProof/>
                <w:sz w:val="18"/>
                <w:szCs w:val="18"/>
              </w:rPr>
            </w:pPr>
            <w:r>
              <w:rPr>
                <w:sz w:val="18"/>
                <w:szCs w:val="18"/>
              </w:rPr>
              <w:t>19</w:t>
            </w:r>
          </w:p>
        </w:tc>
        <w:tc>
          <w:tcPr>
            <w:tcW w:w="1710" w:type="dxa"/>
          </w:tcPr>
          <w:p w:rsidR="00942C48" w:rsidRPr="00D60E4F" w:rsidRDefault="00942C48" w:rsidP="00942C48">
            <w:pPr>
              <w:jc w:val="center"/>
              <w:rPr>
                <w:rFonts w:cs="Arial"/>
                <w:noProof/>
                <w:sz w:val="18"/>
                <w:szCs w:val="18"/>
              </w:rPr>
            </w:pPr>
            <w:r>
              <w:rPr>
                <w:sz w:val="18"/>
                <w:szCs w:val="18"/>
              </w:rPr>
              <w:t>Două Crăciunuri - o familie</w:t>
            </w:r>
          </w:p>
        </w:tc>
        <w:tc>
          <w:tcPr>
            <w:tcW w:w="1890" w:type="dxa"/>
            <w:shd w:val="clear" w:color="auto" w:fill="auto"/>
          </w:tcPr>
          <w:p w:rsidR="00942C48" w:rsidRPr="00D60E4F" w:rsidRDefault="00942C48" w:rsidP="00942C48">
            <w:pPr>
              <w:jc w:val="center"/>
              <w:rPr>
                <w:rFonts w:cs="Arial"/>
                <w:noProof/>
                <w:sz w:val="18"/>
                <w:szCs w:val="18"/>
              </w:rPr>
            </w:pPr>
            <w:r>
              <w:rPr>
                <w:sz w:val="18"/>
                <w:szCs w:val="18"/>
              </w:rPr>
              <w:t>ŞE Jovan Jovanović Zmaj</w:t>
            </w:r>
          </w:p>
        </w:tc>
        <w:tc>
          <w:tcPr>
            <w:tcW w:w="3060" w:type="dxa"/>
            <w:shd w:val="clear" w:color="auto" w:fill="auto"/>
          </w:tcPr>
          <w:p w:rsidR="00942C48" w:rsidRPr="0086314D" w:rsidRDefault="00942C48" w:rsidP="00942C48">
            <w:pPr>
              <w:jc w:val="center"/>
              <w:rPr>
                <w:rFonts w:ascii="Calibri" w:eastAsia="Calibri" w:hAnsi="Calibri" w:cs="Calibri"/>
                <w:noProof/>
                <w:sz w:val="20"/>
                <w:szCs w:val="20"/>
              </w:rPr>
            </w:pPr>
            <w:r>
              <w:rPr>
                <w:rFonts w:ascii="Calibri" w:hAnsi="Calibri"/>
                <w:sz w:val="20"/>
                <w:szCs w:val="20"/>
              </w:rPr>
              <w:t>Ceas inteligent Samsung Galaxi Watcs 6 Small BT 40 mm Graphit</w:t>
            </w:r>
          </w:p>
        </w:tc>
      </w:tr>
      <w:tr w:rsidR="00942C48" w:rsidRPr="00ED2BED" w:rsidTr="00942C48">
        <w:trPr>
          <w:trHeight w:val="710"/>
        </w:trPr>
        <w:tc>
          <w:tcPr>
            <w:tcW w:w="787" w:type="dxa"/>
            <w:shd w:val="clear" w:color="auto" w:fill="auto"/>
          </w:tcPr>
          <w:p w:rsidR="00942C48" w:rsidRPr="009B4816" w:rsidRDefault="00942C48" w:rsidP="00942C48">
            <w:pPr>
              <w:pStyle w:val="BodyTextIndent"/>
              <w:spacing w:after="0"/>
              <w:ind w:left="0"/>
              <w:rPr>
                <w:rFonts w:cs="Arial"/>
                <w:sz w:val="17"/>
                <w:szCs w:val="17"/>
              </w:rPr>
            </w:pPr>
            <w:r>
              <w:rPr>
                <w:sz w:val="17"/>
                <w:szCs w:val="17"/>
              </w:rPr>
              <w:t>3</w:t>
            </w:r>
          </w:p>
        </w:tc>
        <w:tc>
          <w:tcPr>
            <w:tcW w:w="1800" w:type="dxa"/>
            <w:shd w:val="clear" w:color="auto" w:fill="auto"/>
          </w:tcPr>
          <w:p w:rsidR="00942C48" w:rsidRDefault="00942C48" w:rsidP="00942C48">
            <w:pPr>
              <w:jc w:val="center"/>
              <w:rPr>
                <w:rFonts w:cs="Arial"/>
                <w:noProof/>
                <w:sz w:val="18"/>
                <w:szCs w:val="18"/>
                <w:lang w:val="sr-Cyrl-RS"/>
              </w:rPr>
            </w:pPr>
          </w:p>
          <w:p w:rsidR="00942C48" w:rsidRDefault="00942C48" w:rsidP="00942C48">
            <w:pPr>
              <w:jc w:val="center"/>
              <w:rPr>
                <w:rFonts w:cs="Arial"/>
                <w:noProof/>
                <w:sz w:val="18"/>
                <w:szCs w:val="18"/>
              </w:rPr>
            </w:pPr>
            <w:r>
              <w:rPr>
                <w:sz w:val="18"/>
                <w:szCs w:val="18"/>
              </w:rPr>
              <w:t xml:space="preserve">Lilien Tót </w:t>
            </w:r>
          </w:p>
          <w:p w:rsidR="00942C48" w:rsidRPr="00A26E5D" w:rsidRDefault="00942C48" w:rsidP="00942C48">
            <w:pPr>
              <w:jc w:val="center"/>
              <w:rPr>
                <w:rFonts w:cs="Arial"/>
                <w:noProof/>
                <w:sz w:val="18"/>
                <w:szCs w:val="18"/>
              </w:rPr>
            </w:pPr>
          </w:p>
        </w:tc>
        <w:tc>
          <w:tcPr>
            <w:tcW w:w="1170" w:type="dxa"/>
          </w:tcPr>
          <w:p w:rsidR="00942C48" w:rsidRDefault="00942C48" w:rsidP="00942C48">
            <w:pPr>
              <w:jc w:val="center"/>
              <w:rPr>
                <w:rFonts w:cs="Arial"/>
                <w:noProof/>
                <w:sz w:val="18"/>
                <w:szCs w:val="18"/>
                <w:lang w:val="sr-Cyrl-RS"/>
              </w:rPr>
            </w:pPr>
          </w:p>
          <w:p w:rsidR="00942C48" w:rsidRPr="00A26E5D" w:rsidRDefault="00942C48" w:rsidP="00942C48">
            <w:pPr>
              <w:jc w:val="center"/>
              <w:rPr>
                <w:rFonts w:cs="Arial"/>
                <w:noProof/>
                <w:sz w:val="18"/>
                <w:szCs w:val="18"/>
              </w:rPr>
            </w:pPr>
            <w:r>
              <w:rPr>
                <w:sz w:val="18"/>
                <w:szCs w:val="18"/>
              </w:rPr>
              <w:t>Subotica</w:t>
            </w:r>
          </w:p>
        </w:tc>
        <w:tc>
          <w:tcPr>
            <w:tcW w:w="810" w:type="dxa"/>
            <w:shd w:val="clear" w:color="auto" w:fill="auto"/>
          </w:tcPr>
          <w:p w:rsidR="00942C48" w:rsidRDefault="00942C48" w:rsidP="00942C48">
            <w:pPr>
              <w:jc w:val="center"/>
              <w:rPr>
                <w:rFonts w:cs="Arial"/>
                <w:noProof/>
                <w:sz w:val="18"/>
                <w:szCs w:val="18"/>
                <w:lang w:val="sr-Cyrl-RS"/>
              </w:rPr>
            </w:pPr>
          </w:p>
          <w:p w:rsidR="00942C48" w:rsidRPr="00F610A2" w:rsidRDefault="00942C48" w:rsidP="00942C48">
            <w:pPr>
              <w:jc w:val="center"/>
              <w:rPr>
                <w:rFonts w:cs="Arial"/>
                <w:noProof/>
                <w:sz w:val="18"/>
                <w:szCs w:val="18"/>
              </w:rPr>
            </w:pPr>
            <w:r>
              <w:rPr>
                <w:sz w:val="18"/>
                <w:szCs w:val="18"/>
              </w:rPr>
              <w:t>13</w:t>
            </w:r>
          </w:p>
        </w:tc>
        <w:tc>
          <w:tcPr>
            <w:tcW w:w="1710" w:type="dxa"/>
          </w:tcPr>
          <w:p w:rsidR="00942C48" w:rsidRDefault="00942C48" w:rsidP="00942C48">
            <w:pPr>
              <w:jc w:val="center"/>
              <w:rPr>
                <w:rFonts w:cs="Arial"/>
                <w:noProof/>
                <w:sz w:val="18"/>
                <w:szCs w:val="18"/>
                <w:lang w:val="sr-Cyrl-RS"/>
              </w:rPr>
            </w:pPr>
          </w:p>
          <w:p w:rsidR="00942C48" w:rsidRPr="009A609D" w:rsidRDefault="00942C48" w:rsidP="00942C48">
            <w:pPr>
              <w:jc w:val="center"/>
              <w:rPr>
                <w:rFonts w:cs="Arial"/>
                <w:noProof/>
                <w:sz w:val="18"/>
                <w:szCs w:val="18"/>
              </w:rPr>
            </w:pPr>
            <w:r>
              <w:rPr>
                <w:sz w:val="18"/>
                <w:szCs w:val="18"/>
              </w:rPr>
              <w:t>Două Crăciunuri - o familie</w:t>
            </w:r>
          </w:p>
        </w:tc>
        <w:tc>
          <w:tcPr>
            <w:tcW w:w="1890" w:type="dxa"/>
            <w:shd w:val="clear" w:color="auto" w:fill="auto"/>
          </w:tcPr>
          <w:p w:rsidR="00942C48" w:rsidRDefault="00942C48" w:rsidP="00942C48">
            <w:pPr>
              <w:jc w:val="center"/>
              <w:rPr>
                <w:rFonts w:cs="Arial"/>
                <w:noProof/>
                <w:sz w:val="18"/>
                <w:szCs w:val="18"/>
                <w:lang w:val="sr-Cyrl-RS"/>
              </w:rPr>
            </w:pPr>
          </w:p>
          <w:p w:rsidR="00942C48" w:rsidRPr="00D60E4F" w:rsidRDefault="00942C48" w:rsidP="00942C48">
            <w:pPr>
              <w:jc w:val="center"/>
              <w:rPr>
                <w:rFonts w:cs="Arial"/>
                <w:noProof/>
                <w:sz w:val="18"/>
                <w:szCs w:val="18"/>
              </w:rPr>
            </w:pPr>
            <w:r>
              <w:rPr>
                <w:sz w:val="18"/>
                <w:szCs w:val="18"/>
              </w:rPr>
              <w:t xml:space="preserve">ŞE Jovan Jovanović Zmaj </w:t>
            </w:r>
          </w:p>
        </w:tc>
        <w:tc>
          <w:tcPr>
            <w:tcW w:w="3060" w:type="dxa"/>
            <w:shd w:val="clear" w:color="auto" w:fill="auto"/>
          </w:tcPr>
          <w:p w:rsidR="00942C48" w:rsidRPr="00D60E4F" w:rsidRDefault="00942C48" w:rsidP="00942C48">
            <w:pPr>
              <w:jc w:val="center"/>
              <w:rPr>
                <w:rFonts w:cs="Arial"/>
                <w:noProof/>
                <w:sz w:val="18"/>
                <w:szCs w:val="18"/>
              </w:rPr>
            </w:pPr>
            <w:r>
              <w:rPr>
                <w:rFonts w:ascii="Calibri" w:hAnsi="Calibri"/>
                <w:sz w:val="20"/>
                <w:szCs w:val="20"/>
              </w:rPr>
              <w:t>Set gaming White Shark GC 1 COMANCHE 4 in 1 GR S101 BA și difuzorul Redragon Darknets GS570 BT speaker, GS570 BT</w:t>
            </w:r>
          </w:p>
        </w:tc>
      </w:tr>
    </w:tbl>
    <w:p w:rsidR="00CB7FBE" w:rsidRDefault="00CB7FBE" w:rsidP="00CB7FBE">
      <w:pPr>
        <w:ind w:right="-46" w:firstLine="540"/>
        <w:jc w:val="both"/>
        <w:rPr>
          <w:rFonts w:asciiTheme="minorHAnsi" w:hAnsiTheme="minorHAnsi"/>
          <w:bCs/>
          <w:noProof/>
          <w:sz w:val="22"/>
          <w:szCs w:val="22"/>
          <w:lang w:val="sr-Cyrl-CS"/>
        </w:rPr>
      </w:pPr>
    </w:p>
    <w:p w:rsidR="009E7BBF" w:rsidRDefault="009E7BBF" w:rsidP="00F3173A">
      <w:pPr>
        <w:rPr>
          <w:rFonts w:asciiTheme="minorHAnsi" w:hAnsiTheme="minorHAnsi"/>
          <w:b/>
          <w:noProof/>
          <w:sz w:val="20"/>
          <w:szCs w:val="20"/>
        </w:rPr>
      </w:pPr>
    </w:p>
    <w:p w:rsidR="00942C48" w:rsidRDefault="00942C48" w:rsidP="00F3173A">
      <w:pPr>
        <w:rPr>
          <w:rFonts w:asciiTheme="minorHAnsi" w:hAnsiTheme="minorHAnsi"/>
          <w:b/>
          <w:noProof/>
          <w:sz w:val="20"/>
          <w:szCs w:val="20"/>
        </w:rPr>
      </w:pPr>
    </w:p>
    <w:p w:rsidR="00942C48" w:rsidRDefault="00942C48" w:rsidP="00F3173A">
      <w:pPr>
        <w:rPr>
          <w:rFonts w:asciiTheme="minorHAnsi" w:hAnsiTheme="minorHAnsi"/>
          <w:b/>
          <w:noProof/>
          <w:sz w:val="20"/>
          <w:szCs w:val="20"/>
        </w:rPr>
      </w:pPr>
    </w:p>
    <w:p w:rsidR="00942C48" w:rsidRDefault="00942C48" w:rsidP="00F3173A">
      <w:pPr>
        <w:rPr>
          <w:rFonts w:asciiTheme="minorHAnsi" w:hAnsiTheme="minorHAnsi"/>
          <w:b/>
          <w:noProof/>
          <w:sz w:val="20"/>
          <w:szCs w:val="20"/>
        </w:rPr>
      </w:pPr>
    </w:p>
    <w:p w:rsidR="00F3173A" w:rsidRDefault="00F3173A" w:rsidP="00F3173A">
      <w:pPr>
        <w:rPr>
          <w:rFonts w:asciiTheme="minorHAnsi" w:hAnsiTheme="minorHAnsi"/>
          <w:b/>
          <w:noProof/>
          <w:sz w:val="20"/>
          <w:szCs w:val="20"/>
          <w:lang w:val="sr-Latn-R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II</w:t>
      </w:r>
    </w:p>
    <w:p w:rsidR="00CB7FBE" w:rsidRPr="006D4672" w:rsidRDefault="00CB7FBE" w:rsidP="00CB7FBE">
      <w:pPr>
        <w:jc w:val="center"/>
        <w:rPr>
          <w:rFonts w:asciiTheme="minorHAnsi" w:hAnsiTheme="minorHAnsi"/>
          <w:b/>
          <w:noProof/>
          <w:sz w:val="20"/>
          <w:szCs w:val="20"/>
          <w:lang w:val="sr-Latn-RS"/>
        </w:rPr>
      </w:pPr>
    </w:p>
    <w:p w:rsidR="00CB7FBE" w:rsidRPr="002460E3" w:rsidRDefault="00CB7FBE" w:rsidP="00CB7FBE">
      <w:pPr>
        <w:ind w:firstLine="709"/>
        <w:jc w:val="both"/>
        <w:rPr>
          <w:rFonts w:asciiTheme="minorHAnsi" w:hAnsiTheme="minorHAnsi" w:cstheme="minorHAnsi"/>
          <w:noProof/>
          <w:sz w:val="22"/>
          <w:szCs w:val="22"/>
        </w:rPr>
      </w:pPr>
      <w:r>
        <w:rPr>
          <w:rFonts w:asciiTheme="minorHAnsi" w:hAnsiTheme="minorHAnsi"/>
          <w:sz w:val="22"/>
          <w:szCs w:val="22"/>
        </w:rPr>
        <w:t>Prezenta decizie privind alegerea va fi publicată pe pagina oficială de internet a FESAP şi a Secretariatului.</w:t>
      </w:r>
    </w:p>
    <w:p w:rsidR="00CB7FBE" w:rsidRPr="002460E3" w:rsidRDefault="00CB7FBE" w:rsidP="00CB7FBE">
      <w:pPr>
        <w:jc w:val="center"/>
        <w:rPr>
          <w:rFonts w:asciiTheme="minorHAnsi" w:hAnsiTheme="minorHAnsi" w:cstheme="minorHAnsi"/>
          <w:b/>
          <w:noProof/>
          <w:sz w:val="22"/>
          <w:szCs w:val="22"/>
          <w:lang w:val="sr-Latn-RS"/>
        </w:rPr>
      </w:pPr>
    </w:p>
    <w:p w:rsidR="00CB7FBE" w:rsidRPr="002460E3" w:rsidRDefault="00CB7FBE" w:rsidP="00CB7FBE">
      <w:pPr>
        <w:jc w:val="center"/>
        <w:rPr>
          <w:rFonts w:asciiTheme="minorHAnsi" w:hAnsiTheme="minorHAnsi" w:cstheme="minorHAnsi"/>
          <w:b/>
          <w:noProof/>
          <w:sz w:val="22"/>
          <w:szCs w:val="22"/>
        </w:rPr>
      </w:pPr>
      <w:r>
        <w:rPr>
          <w:rFonts w:asciiTheme="minorHAnsi" w:hAnsiTheme="minorHAnsi"/>
          <w:b/>
          <w:sz w:val="22"/>
          <w:szCs w:val="22"/>
        </w:rPr>
        <w:t>III</w:t>
      </w:r>
    </w:p>
    <w:p w:rsidR="00CB7FBE" w:rsidRPr="002460E3" w:rsidRDefault="00CB7FBE" w:rsidP="00CB7FBE">
      <w:pPr>
        <w:ind w:firstLine="709"/>
        <w:jc w:val="both"/>
        <w:rPr>
          <w:rFonts w:asciiTheme="minorHAnsi" w:hAnsiTheme="minorHAnsi" w:cstheme="minorHAnsi"/>
          <w:noProof/>
          <w:sz w:val="22"/>
          <w:szCs w:val="22"/>
        </w:rPr>
      </w:pPr>
      <w:r>
        <w:rPr>
          <w:rFonts w:asciiTheme="minorHAnsi" w:hAnsiTheme="minorHAnsi"/>
          <w:sz w:val="22"/>
          <w:szCs w:val="22"/>
        </w:rPr>
        <w:t>Prezenta decizie este definitivă.</w:t>
      </w:r>
    </w:p>
    <w:p w:rsidR="00CB7FBE" w:rsidRPr="002460E3" w:rsidRDefault="00CB7FBE" w:rsidP="00CB7FBE">
      <w:pPr>
        <w:ind w:firstLine="709"/>
        <w:jc w:val="both"/>
        <w:rPr>
          <w:rFonts w:asciiTheme="minorHAnsi" w:hAnsiTheme="minorHAnsi" w:cstheme="minorHAnsi"/>
          <w:noProof/>
          <w:sz w:val="22"/>
          <w:szCs w:val="22"/>
          <w:lang w:val="sr-Cyrl-CS"/>
        </w:rPr>
      </w:pPr>
    </w:p>
    <w:p w:rsidR="00CB7FBE" w:rsidRPr="002460E3" w:rsidRDefault="00CB7FBE" w:rsidP="00CB7FBE">
      <w:pPr>
        <w:jc w:val="center"/>
        <w:rPr>
          <w:rFonts w:asciiTheme="minorHAnsi" w:hAnsiTheme="minorHAnsi" w:cstheme="minorHAnsi"/>
          <w:b/>
          <w:noProof/>
          <w:sz w:val="22"/>
          <w:szCs w:val="22"/>
        </w:rPr>
      </w:pPr>
      <w:r>
        <w:rPr>
          <w:rFonts w:asciiTheme="minorHAnsi" w:hAnsiTheme="minorHAnsi"/>
          <w:b/>
          <w:sz w:val="22"/>
          <w:szCs w:val="22"/>
        </w:rPr>
        <w:t>Expunerea de motive:</w:t>
      </w:r>
    </w:p>
    <w:p w:rsidR="00CB7FBE" w:rsidRPr="002460E3" w:rsidRDefault="00CB7FBE" w:rsidP="00CB7FBE">
      <w:pPr>
        <w:ind w:firstLine="709"/>
        <w:jc w:val="center"/>
        <w:rPr>
          <w:rFonts w:asciiTheme="minorHAnsi" w:hAnsiTheme="minorHAnsi" w:cstheme="minorHAnsi"/>
          <w:b/>
          <w:noProof/>
          <w:sz w:val="22"/>
          <w:szCs w:val="22"/>
          <w:lang w:val="sr-Cyrl-CS"/>
        </w:rPr>
      </w:pPr>
    </w:p>
    <w:p w:rsidR="00CB7FBE" w:rsidRPr="002460E3" w:rsidRDefault="00C568FE" w:rsidP="00CB7FBE">
      <w:pPr>
        <w:ind w:firstLine="708"/>
        <w:jc w:val="both"/>
        <w:rPr>
          <w:rFonts w:asciiTheme="minorHAnsi" w:hAnsiTheme="minorHAnsi" w:cstheme="minorHAnsi"/>
          <w:bCs/>
          <w:noProof/>
          <w:sz w:val="22"/>
          <w:szCs w:val="22"/>
        </w:rPr>
      </w:pPr>
      <w:r>
        <w:rPr>
          <w:rFonts w:asciiTheme="minorHAnsi" w:hAnsiTheme="minorHAnsi"/>
          <w:sz w:val="22"/>
          <w:szCs w:val="22"/>
        </w:rPr>
        <w:t>În baza articolului 11 ,  12 , 23, alineatele 4, 25 şi 26 din Hotărârea Adunării Provinciei privind bugetul Provinciei Autonome Voivodina pentru anul 2024 („Buletinul oficial al P.A.V.”, nr. 45/2023 şi 7/2024–reechilibrare) şi articolului 7</w:t>
      </w:r>
      <w:r>
        <w:rPr>
          <w:rFonts w:asciiTheme="minorHAnsi" w:hAnsiTheme="minorHAnsi"/>
          <w:bCs/>
          <w:sz w:val="22"/>
          <w:szCs w:val="22"/>
        </w:rPr>
        <w:t xml:space="preserve"> din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29.01.2024, a publicat Concursul public pentru cofinanţarea subproiectului „Multiculturalismul pe clic”, sub numărul 000146006  2024 09427 005 000 000  001. Concursul public a fost publicat pentru alocarea dotaţiilor Secretariatul Provincial pentru Educaţie, Reglementări, Administraţie şi Minorităţile Naţionale - Comunităţile Naţionale, către persoanele juridice înregistrate (asociaţiilor şi altor subiecţi cu sediul în teritoriul Provinciei Autonome Voivodina) pentru organizarea a 8 concursuri cu premii de interes public general, pentru elevii claselo inferioare și superioare ale şcolilor elementaredin P.A. Voivodina, şi anume în domeniul multiculturalismului, toleranţei şi păstrării şi promovării diversităţii etnice şi a identităţii culturale a minorităţilor naţionale - comunităţilor naţionale din Voivodina. </w:t>
      </w:r>
    </w:p>
    <w:p w:rsidR="00CB7FBE" w:rsidRPr="002460E3" w:rsidRDefault="00CB7FBE" w:rsidP="00CB7FBE">
      <w:pPr>
        <w:ind w:firstLine="708"/>
        <w:jc w:val="both"/>
        <w:rPr>
          <w:rFonts w:asciiTheme="minorHAnsi" w:hAnsiTheme="minorHAnsi" w:cstheme="minorHAnsi"/>
          <w:bCs/>
          <w:noProof/>
          <w:sz w:val="22"/>
          <w:szCs w:val="22"/>
        </w:rPr>
      </w:pPr>
      <w:r>
        <w:rPr>
          <w:rFonts w:asciiTheme="minorHAnsi" w:hAnsiTheme="minorHAnsi"/>
          <w:bCs/>
          <w:sz w:val="22"/>
          <w:szCs w:val="22"/>
        </w:rPr>
        <w:t>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CB7FBE" w:rsidRPr="002460E3"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CB7FBE" w:rsidRPr="002460E3"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Drept la repartizarea mijloacelor bugetare ale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CB7FBE" w:rsidRPr="002460E3"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 xml:space="preserve">Prin articolul 15 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 În 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w:t>
      </w:r>
      <w:r>
        <w:rPr>
          <w:rFonts w:asciiTheme="minorHAnsi" w:hAnsiTheme="minorHAnsi"/>
          <w:sz w:val="22"/>
          <w:szCs w:val="22"/>
        </w:rPr>
        <w:lastRenderedPageBreak/>
        <w:t>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CB7FBE" w:rsidRPr="002460E3" w:rsidRDefault="00CB7FBE" w:rsidP="00CB7FBE">
      <w:pPr>
        <w:ind w:firstLine="708"/>
        <w:jc w:val="both"/>
        <w:rPr>
          <w:rFonts w:asciiTheme="minorHAnsi" w:hAnsiTheme="minorHAnsi" w:cstheme="minorHAnsi"/>
          <w:bCs/>
          <w:noProof/>
          <w:sz w:val="22"/>
          <w:szCs w:val="22"/>
        </w:rPr>
      </w:pPr>
      <w:r>
        <w:rPr>
          <w:rFonts w:asciiTheme="minorHAnsi" w:hAnsiTheme="minorHAnsi"/>
          <w:bCs/>
          <w:sz w:val="22"/>
          <w:szCs w:val="22"/>
        </w:rPr>
        <w:t>Comisia de concurs pentru desfăşurarea procedurii de repartizare a mijloacelor bugetare în baza Concursului public pentru cofinanţarea subproiectului „Multiculturalismul pe clic”, este înfiinţată prin decizia nr. 000146006 2024 09427 005 000 000  001 din 8 aprilie 2024 Comisia s-a întrunit pe data de 08.04.2024 şi în urma examinării şi evaluării cererilor depuse de asociaţii, fonduri şi fundaţii la concursul menţionat, a stabilit lista evaluării, punctajul şi clasamentul programelor/proiectelor anunţate care a fost publicată pe pagina internet oficială a Secretariatului Provincial în data de 09.04.2024. Participanții la concurs au avut drept la recurs împotriva evaluării și clasificării programelor/proiectelor anunţate,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CB7FBE" w:rsidRPr="002460E3" w:rsidRDefault="00CB7FBE" w:rsidP="00CB7FBE">
      <w:pPr>
        <w:ind w:right="-46" w:firstLine="540"/>
        <w:jc w:val="both"/>
        <w:rPr>
          <w:rFonts w:asciiTheme="minorHAnsi" w:hAnsiTheme="minorHAnsi" w:cstheme="minorHAnsi"/>
          <w:bCs/>
          <w:noProof/>
          <w:sz w:val="22"/>
          <w:szCs w:val="22"/>
        </w:rPr>
      </w:pPr>
      <w:r>
        <w:rPr>
          <w:rFonts w:asciiTheme="minorHAnsi" w:hAnsiTheme="minorHAnsi"/>
          <w:sz w:val="22"/>
          <w:szCs w:val="22"/>
        </w:rPr>
        <w:t xml:space="preserve">Secretarul provincial a emis pe data de 22.04.2024 decizia privind repartizarea mijloacelor bugetare conform Concursului public pentru cofinanţarea subproiectului "Multiculturalismul pe clic”, prin care în baza Concursului public pentru cofinanţarea subproiectului "Multiculturalismul pe clic”, mijloacele în cuantum de 700.000,00 dinari se acordă </w:t>
      </w:r>
      <w:r>
        <w:rPr>
          <w:rFonts w:asciiTheme="minorHAnsi" w:hAnsiTheme="minorHAnsi"/>
          <w:b/>
          <w:bCs/>
          <w:sz w:val="22"/>
          <w:szCs w:val="22"/>
        </w:rPr>
        <w:t>Forumului pentru educație, cooperare, afirmare și sprijin societăţii civice - FESAP din Novi Sad.</w:t>
      </w:r>
      <w:r>
        <w:rPr>
          <w:rFonts w:asciiTheme="minorHAnsi" w:hAnsiTheme="minorHAnsi"/>
          <w:sz w:val="22"/>
          <w:szCs w:val="22"/>
        </w:rPr>
        <w:t xml:space="preserve"> În baza articolul 11 alineatul 3 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 Secretariatul şi FESAP pa data de 23.04.2024 au încheiat contractul privind repartizarea mijloacelor numărul 000304652 2024 09427 005 001 000 001. În baza dispoziţiilor Concursului public, a deciziei menționate și a contractului de repartizare a mijloacelor, la data de 14.11.2024, FESAP a publicat Concurs pentru alegerea lucrării de artă plastică</w:t>
      </w:r>
      <w:r>
        <w:rPr>
          <w:rFonts w:asciiTheme="minorHAnsi" w:hAnsiTheme="minorHAnsi"/>
          <w:bCs/>
          <w:sz w:val="22"/>
          <w:szCs w:val="22"/>
        </w:rPr>
        <w:t xml:space="preserve"> pe tema „Două Crăciunuri - o familie”</w:t>
      </w:r>
      <w:r>
        <w:rPr>
          <w:rFonts w:asciiTheme="minorHAnsi" w:hAnsiTheme="minorHAnsi"/>
          <w:sz w:val="22"/>
          <w:szCs w:val="22"/>
        </w:rPr>
        <w:t>, la care cererile au putut fi depuse până la 02.12.2024. După expirarea termenului de prezentare a cererilor, 12.12.</w:t>
      </w:r>
      <w:r>
        <w:rPr>
          <w:rFonts w:asciiTheme="minorHAnsi" w:hAnsiTheme="minorHAnsi"/>
          <w:bCs/>
          <w:sz w:val="22"/>
          <w:szCs w:val="22"/>
        </w:rPr>
        <w:t xml:space="preserve">2024, a avut loc ședința comisiei de concurs pentru evaluarea, punctajul și clasamentul cererilor prezentate la Concursul menţionat, iar prin Procesul-verbal numărul 50/2024 din 12.12.2024 a stabilit propunerea pentru adoptarea deciziei </w:t>
      </w:r>
      <w:r>
        <w:rPr>
          <w:rFonts w:asciiTheme="minorHAnsi" w:hAnsiTheme="minorHAnsi"/>
          <w:sz w:val="22"/>
          <w:szCs w:val="22"/>
        </w:rPr>
        <w:t xml:space="preserve">privind alegerea lucrării de artă plastică </w:t>
      </w:r>
      <w:r>
        <w:rPr>
          <w:rFonts w:asciiTheme="minorHAnsi" w:hAnsiTheme="minorHAnsi"/>
          <w:bCs/>
          <w:sz w:val="22"/>
          <w:szCs w:val="22"/>
        </w:rPr>
        <w:t>pe tema „Două Crăciunuri - o familie”.</w:t>
      </w:r>
    </w:p>
    <w:p w:rsidR="00CB7FBE" w:rsidRPr="002460E3" w:rsidRDefault="00CB7FBE" w:rsidP="00CB7FBE">
      <w:pPr>
        <w:ind w:right="-46" w:firstLine="540"/>
        <w:jc w:val="both"/>
        <w:rPr>
          <w:rFonts w:asciiTheme="minorHAnsi" w:hAnsiTheme="minorHAnsi" w:cstheme="minorHAnsi"/>
          <w:bCs/>
          <w:noProof/>
          <w:sz w:val="22"/>
          <w:szCs w:val="22"/>
        </w:rPr>
      </w:pPr>
      <w:r>
        <w:rPr>
          <w:rFonts w:asciiTheme="minorHAnsi" w:hAnsiTheme="minorHAnsi"/>
          <w:bCs/>
          <w:sz w:val="22"/>
          <w:szCs w:val="22"/>
        </w:rPr>
        <w:t>În conformitate cu cele menţionate, preşedinta Consiliului de administrație al FESAP, a acceptat în întregime proiectul deciziei cu lista lucrărilor premiate și a emis decizia ca în dispozitiv.</w:t>
      </w:r>
    </w:p>
    <w:p w:rsidR="00CB7FBE" w:rsidRPr="002460E3" w:rsidRDefault="002460E3" w:rsidP="00CB7FBE">
      <w:pPr>
        <w:ind w:right="-46" w:firstLine="540"/>
        <w:jc w:val="both"/>
        <w:rPr>
          <w:rFonts w:asciiTheme="minorHAnsi" w:hAnsiTheme="minorHAnsi" w:cstheme="minorHAnsi"/>
          <w:bCs/>
          <w:noProof/>
          <w:sz w:val="22"/>
          <w:szCs w:val="22"/>
        </w:rPr>
      </w:pPr>
      <w:r>
        <w:rPr>
          <w:rFonts w:asciiTheme="minorHAnsi" w:hAnsiTheme="minorHAnsi"/>
          <w:bCs/>
          <w:sz w:val="22"/>
          <w:szCs w:val="22"/>
        </w:rPr>
        <w:t>Decizia se publică pe pagina de internet a FESAP și se remite Secretariatului spre publicare pe pagina de internet a Secretariatului.</w:t>
      </w:r>
    </w:p>
    <w:p w:rsidR="00CB7FBE" w:rsidRPr="002460E3" w:rsidRDefault="00CB7FBE" w:rsidP="00CB7FBE">
      <w:pPr>
        <w:ind w:right="-46" w:firstLine="540"/>
        <w:jc w:val="both"/>
        <w:rPr>
          <w:rFonts w:asciiTheme="minorHAnsi" w:hAnsiTheme="minorHAnsi" w:cstheme="minorHAnsi"/>
          <w:bCs/>
          <w:noProof/>
          <w:sz w:val="22"/>
          <w:szCs w:val="22"/>
          <w:lang w:val="sr-Cyrl-CS"/>
        </w:rPr>
      </w:pPr>
    </w:p>
    <w:p w:rsidR="00CB7FBE" w:rsidRPr="002460E3" w:rsidRDefault="00CB7FBE" w:rsidP="00CB7FBE">
      <w:pPr>
        <w:ind w:right="-46" w:firstLine="540"/>
        <w:jc w:val="both"/>
        <w:rPr>
          <w:rFonts w:asciiTheme="minorHAnsi" w:hAnsiTheme="minorHAnsi" w:cstheme="minorHAnsi"/>
          <w:bCs/>
          <w:noProof/>
          <w:sz w:val="22"/>
          <w:szCs w:val="22"/>
          <w:lang w:val="sr-Cyrl-CS"/>
        </w:rPr>
      </w:pPr>
    </w:p>
    <w:p w:rsidR="00CB7FBE" w:rsidRPr="002460E3" w:rsidRDefault="00CB7FBE" w:rsidP="00CB7FBE">
      <w:pPr>
        <w:pStyle w:val="BodyTextIndent"/>
        <w:spacing w:after="0"/>
        <w:rPr>
          <w:rFonts w:asciiTheme="minorHAnsi" w:hAnsiTheme="minorHAnsi" w:cstheme="minorHAnsi"/>
          <w:szCs w:val="22"/>
        </w:rPr>
      </w:pPr>
      <w:r>
        <w:rPr>
          <w:rFonts w:asciiTheme="minorHAnsi" w:hAnsiTheme="minorHAnsi"/>
          <w:szCs w:val="22"/>
        </w:rPr>
        <w:t>Decizia se trimite:</w:t>
      </w:r>
    </w:p>
    <w:p w:rsidR="00CB7FBE" w:rsidRPr="002460E3" w:rsidRDefault="00CB7FBE" w:rsidP="00CB7FBE">
      <w:pPr>
        <w:numPr>
          <w:ilvl w:val="0"/>
          <w:numId w:val="1"/>
        </w:numPr>
        <w:jc w:val="both"/>
        <w:rPr>
          <w:rFonts w:asciiTheme="minorHAnsi" w:hAnsiTheme="minorHAnsi" w:cstheme="minorHAnsi"/>
          <w:sz w:val="22"/>
          <w:szCs w:val="22"/>
        </w:rPr>
      </w:pPr>
      <w:r>
        <w:rPr>
          <w:rFonts w:asciiTheme="minorHAnsi" w:hAnsiTheme="minorHAnsi"/>
          <w:sz w:val="22"/>
          <w:szCs w:val="22"/>
        </w:rPr>
        <w:t>Secretariatului;</w:t>
      </w:r>
    </w:p>
    <w:p w:rsidR="00CB7FBE" w:rsidRPr="002460E3" w:rsidRDefault="00CB7FBE" w:rsidP="00CB7FBE">
      <w:pPr>
        <w:numPr>
          <w:ilvl w:val="0"/>
          <w:numId w:val="1"/>
        </w:numPr>
        <w:jc w:val="both"/>
        <w:rPr>
          <w:rFonts w:asciiTheme="minorHAnsi" w:hAnsiTheme="minorHAnsi" w:cstheme="minorHAnsi"/>
          <w:sz w:val="22"/>
          <w:szCs w:val="22"/>
        </w:rPr>
      </w:pPr>
      <w:r>
        <w:rPr>
          <w:rFonts w:asciiTheme="minorHAnsi" w:hAnsiTheme="minorHAnsi"/>
          <w:sz w:val="22"/>
          <w:szCs w:val="22"/>
        </w:rPr>
        <w:t>Arhivei.</w:t>
      </w:r>
    </w:p>
    <w:p w:rsidR="00CB7FBE" w:rsidRPr="002460E3" w:rsidRDefault="00CB7FBE" w:rsidP="00CB7FBE">
      <w:pPr>
        <w:ind w:left="720"/>
        <w:jc w:val="both"/>
        <w:rPr>
          <w:rFonts w:asciiTheme="minorHAnsi" w:hAnsiTheme="minorHAnsi" w:cstheme="minorHAnsi"/>
          <w:sz w:val="22"/>
          <w:szCs w:val="22"/>
          <w:lang w:val="sr-Cyrl-CS"/>
        </w:rPr>
      </w:pPr>
    </w:p>
    <w:p w:rsidR="00CB7FBE" w:rsidRPr="002460E3" w:rsidRDefault="00CB7FBE" w:rsidP="00CB7FBE">
      <w:pPr>
        <w:ind w:firstLine="720"/>
        <w:jc w:val="center"/>
        <w:rPr>
          <w:rFonts w:asciiTheme="minorHAnsi" w:hAnsiTheme="minorHAnsi" w:cstheme="minorHAnsi"/>
          <w:sz w:val="22"/>
          <w:szCs w:val="22"/>
        </w:rPr>
      </w:pPr>
      <w:r>
        <w:rPr>
          <w:rFonts w:asciiTheme="minorHAnsi" w:hAnsiTheme="minorHAnsi"/>
          <w:sz w:val="22"/>
          <w:szCs w:val="22"/>
        </w:rPr>
        <w:lastRenderedPageBreak/>
        <w:t xml:space="preserve">      </w:t>
      </w:r>
      <w:r w:rsidR="00006EA5">
        <w:rPr>
          <w:rFonts w:asciiTheme="minorHAnsi" w:hAnsiTheme="minorHAnsi"/>
          <w:sz w:val="22"/>
          <w:szCs w:val="22"/>
        </w:rPr>
        <w:t xml:space="preserve">                            </w:t>
      </w:r>
      <w:r>
        <w:rPr>
          <w:rFonts w:asciiTheme="minorHAnsi" w:hAnsiTheme="minorHAnsi"/>
          <w:sz w:val="22"/>
          <w:szCs w:val="22"/>
        </w:rPr>
        <w:t xml:space="preserve">       </w:t>
      </w:r>
    </w:p>
    <w:p w:rsidR="00CB7FBE" w:rsidRPr="002460E3" w:rsidRDefault="00CB7FBE" w:rsidP="00CB7FBE">
      <w:pPr>
        <w:pStyle w:val="BodyTextIndent"/>
        <w:spacing w:after="0"/>
        <w:ind w:left="3883" w:firstLine="437"/>
        <w:jc w:val="center"/>
        <w:rPr>
          <w:rFonts w:asciiTheme="minorHAnsi" w:hAnsiTheme="minorHAnsi" w:cstheme="minorHAnsi"/>
          <w:szCs w:val="22"/>
        </w:rPr>
      </w:pPr>
      <w:r>
        <w:rPr>
          <w:rFonts w:asciiTheme="minorHAnsi" w:hAnsiTheme="minorHAnsi"/>
          <w:szCs w:val="22"/>
        </w:rPr>
        <w:t>dr. Ida Kabok</w:t>
      </w:r>
    </w:p>
    <w:p w:rsidR="00CD5BC8" w:rsidRPr="00F3173A" w:rsidRDefault="00CB7FBE" w:rsidP="00F3173A">
      <w:pPr>
        <w:pStyle w:val="BodyTextIndent"/>
        <w:spacing w:after="0"/>
        <w:ind w:left="3446" w:firstLine="437"/>
        <w:jc w:val="center"/>
        <w:rPr>
          <w:rFonts w:asciiTheme="minorHAnsi" w:hAnsiTheme="minorHAnsi" w:cstheme="minorHAnsi"/>
          <w:szCs w:val="22"/>
        </w:rPr>
      </w:pPr>
      <w:r>
        <w:rPr>
          <w:rFonts w:asciiTheme="minorHAnsi" w:hAnsiTheme="minorHAnsi"/>
          <w:szCs w:val="22"/>
        </w:rPr>
        <w:t>Preşedinta Consiliului de administraţie FESAP</w:t>
      </w:r>
    </w:p>
    <w:p w:rsidR="00006EA5" w:rsidRPr="00F3173A" w:rsidRDefault="00006EA5">
      <w:pPr>
        <w:pStyle w:val="BodyTextIndent"/>
        <w:spacing w:after="0"/>
        <w:ind w:left="3446" w:firstLine="437"/>
        <w:jc w:val="center"/>
        <w:rPr>
          <w:rFonts w:asciiTheme="minorHAnsi" w:hAnsiTheme="minorHAnsi" w:cstheme="minorHAnsi"/>
          <w:szCs w:val="22"/>
        </w:rPr>
      </w:pPr>
      <w:bookmarkStart w:id="0" w:name="_GoBack"/>
      <w:bookmarkEnd w:id="0"/>
    </w:p>
    <w:sectPr w:rsidR="00006EA5" w:rsidRPr="00F317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06EA5"/>
    <w:rsid w:val="000761EE"/>
    <w:rsid w:val="00090D22"/>
    <w:rsid w:val="000E06DE"/>
    <w:rsid w:val="000F2801"/>
    <w:rsid w:val="001148D9"/>
    <w:rsid w:val="00165BDC"/>
    <w:rsid w:val="00187E70"/>
    <w:rsid w:val="001964F7"/>
    <w:rsid w:val="00203F7F"/>
    <w:rsid w:val="002460E3"/>
    <w:rsid w:val="00281126"/>
    <w:rsid w:val="00290D30"/>
    <w:rsid w:val="002B66CD"/>
    <w:rsid w:val="002E6867"/>
    <w:rsid w:val="00372CC2"/>
    <w:rsid w:val="005956BB"/>
    <w:rsid w:val="006239C3"/>
    <w:rsid w:val="00633F9E"/>
    <w:rsid w:val="00656068"/>
    <w:rsid w:val="006A3319"/>
    <w:rsid w:val="006E332C"/>
    <w:rsid w:val="006F0B38"/>
    <w:rsid w:val="007250D0"/>
    <w:rsid w:val="00770E47"/>
    <w:rsid w:val="00791B6E"/>
    <w:rsid w:val="007A474B"/>
    <w:rsid w:val="007B139C"/>
    <w:rsid w:val="007B33BD"/>
    <w:rsid w:val="00805A52"/>
    <w:rsid w:val="0086314D"/>
    <w:rsid w:val="008D753B"/>
    <w:rsid w:val="00942C48"/>
    <w:rsid w:val="009641A7"/>
    <w:rsid w:val="009D255F"/>
    <w:rsid w:val="009E7BBF"/>
    <w:rsid w:val="00A26E5D"/>
    <w:rsid w:val="00A72854"/>
    <w:rsid w:val="00A95202"/>
    <w:rsid w:val="00A95410"/>
    <w:rsid w:val="00B046AA"/>
    <w:rsid w:val="00B143D5"/>
    <w:rsid w:val="00B2337E"/>
    <w:rsid w:val="00B57B7A"/>
    <w:rsid w:val="00BA2783"/>
    <w:rsid w:val="00C01876"/>
    <w:rsid w:val="00C074D3"/>
    <w:rsid w:val="00C24091"/>
    <w:rsid w:val="00C34342"/>
    <w:rsid w:val="00C568FE"/>
    <w:rsid w:val="00CA546E"/>
    <w:rsid w:val="00CB7FBE"/>
    <w:rsid w:val="00D026E7"/>
    <w:rsid w:val="00D060B8"/>
    <w:rsid w:val="00E238E6"/>
    <w:rsid w:val="00E550FF"/>
    <w:rsid w:val="00ED4C58"/>
    <w:rsid w:val="00F134E4"/>
    <w:rsid w:val="00F3173A"/>
    <w:rsid w:val="00F67DE7"/>
    <w:rsid w:val="00FB56D3"/>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2BE5"/>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ro-RO"/>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Florina Vinka</cp:lastModifiedBy>
  <cp:revision>4</cp:revision>
  <cp:lastPrinted>2024-12-12T11:12:00Z</cp:lastPrinted>
  <dcterms:created xsi:type="dcterms:W3CDTF">2024-12-13T09:20:00Z</dcterms:created>
  <dcterms:modified xsi:type="dcterms:W3CDTF">2024-12-13T09:38:00Z</dcterms:modified>
</cp:coreProperties>
</file>