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91" w:rsidRPr="00DA1F02" w:rsidRDefault="003C1191" w:rsidP="00E00E69">
      <w:pPr>
        <w:spacing w:after="0" w:line="240" w:lineRule="auto"/>
        <w:ind w:right="4931"/>
        <w:rPr>
          <w:rFonts w:ascii="Tahoma" w:eastAsia="Calibri" w:hAnsi="Tahoma" w:cs="Tahoma"/>
          <w:lang w:val="sr-Latn-RS"/>
        </w:rPr>
      </w:pPr>
    </w:p>
    <w:p w:rsidR="00E00E69" w:rsidRPr="00E00E69" w:rsidRDefault="00E00E69" w:rsidP="00E00E69">
      <w:pPr>
        <w:spacing w:after="0" w:line="240" w:lineRule="auto"/>
        <w:ind w:right="4931"/>
        <w:rPr>
          <w:rFonts w:ascii="Tahoma" w:eastAsia="Calibri" w:hAnsi="Tahoma" w:cs="Tahoma"/>
          <w:b/>
        </w:rPr>
      </w:pPr>
      <w:r>
        <w:rPr>
          <w:rFonts w:ascii="Tahoma" w:hAnsi="Tahoma"/>
        </w:rPr>
        <w:t>REPUBLICA SERBIA</w:t>
      </w:r>
    </w:p>
    <w:p w:rsidR="00E00E69" w:rsidRPr="00E00E69" w:rsidRDefault="00E00E69" w:rsidP="00E00E69">
      <w:pPr>
        <w:spacing w:after="0" w:line="240" w:lineRule="auto"/>
        <w:ind w:left="-1260" w:right="4931"/>
        <w:jc w:val="center"/>
        <w:rPr>
          <w:rFonts w:ascii="Tahoma" w:eastAsia="Calibri" w:hAnsi="Tahoma" w:cs="Tahoma"/>
          <w:b/>
        </w:rPr>
      </w:pPr>
      <w:r>
        <w:rPr>
          <w:rFonts w:ascii="Tahoma" w:hAnsi="Tahoma"/>
        </w:rPr>
        <w:t xml:space="preserve">               PROVINCIA AUTONOMĂ VOIVODINA</w:t>
      </w:r>
    </w:p>
    <w:p w:rsidR="00E00E69" w:rsidRPr="00E00E69" w:rsidRDefault="00E00E69" w:rsidP="00E00E69">
      <w:pPr>
        <w:spacing w:after="0" w:line="240" w:lineRule="auto"/>
        <w:ind w:right="4931"/>
        <w:rPr>
          <w:rFonts w:ascii="Tahoma" w:eastAsia="Calibri" w:hAnsi="Tahoma" w:cs="Tahoma"/>
        </w:rPr>
      </w:pPr>
      <w:r>
        <w:rPr>
          <w:rFonts w:ascii="Tahoma" w:hAnsi="Tahoma"/>
        </w:rPr>
        <w:t>COMUNA NOVI BEČEJ</w:t>
      </w:r>
    </w:p>
    <w:p w:rsidR="00E00E69" w:rsidRPr="00E00E69" w:rsidRDefault="00E00E69" w:rsidP="00E00E69">
      <w:pPr>
        <w:spacing w:after="0" w:line="240" w:lineRule="auto"/>
        <w:ind w:left="-1260" w:right="4931"/>
        <w:rPr>
          <w:rFonts w:ascii="Tahoma" w:eastAsia="Calibri" w:hAnsi="Tahoma" w:cs="Tahoma"/>
        </w:rPr>
      </w:pPr>
      <w:r>
        <w:rPr>
          <w:rFonts w:ascii="Tahoma" w:hAnsi="Tahoma"/>
        </w:rPr>
        <w:t xml:space="preserve">                  CONSILIUL DE ADMINISTRAŢIE AL</w:t>
      </w:r>
    </w:p>
    <w:p w:rsidR="00E00E69" w:rsidRPr="00E00E69" w:rsidRDefault="00E00E69" w:rsidP="00E00E69">
      <w:pPr>
        <w:spacing w:after="0" w:line="240" w:lineRule="auto"/>
        <w:ind w:left="-1260" w:right="4931"/>
        <w:rPr>
          <w:rFonts w:ascii="Tahoma" w:eastAsia="Calibri" w:hAnsi="Tahoma" w:cs="Tahoma"/>
        </w:rPr>
      </w:pPr>
      <w:r>
        <w:rPr>
          <w:rFonts w:ascii="Tahoma" w:hAnsi="Tahoma"/>
        </w:rPr>
        <w:t xml:space="preserve">                  CENTRULUI CREATIV </w:t>
      </w:r>
    </w:p>
    <w:p w:rsidR="00E00E69" w:rsidRPr="00E00E69" w:rsidRDefault="00E00E69" w:rsidP="00E00E69">
      <w:pPr>
        <w:spacing w:after="0" w:line="240" w:lineRule="auto"/>
        <w:ind w:left="-1260" w:right="4931"/>
        <w:jc w:val="center"/>
        <w:rPr>
          <w:rFonts w:ascii="Tahoma" w:eastAsia="Calibri" w:hAnsi="Tahoma" w:cs="Tahoma"/>
        </w:rPr>
      </w:pPr>
      <w:r>
        <w:rPr>
          <w:rFonts w:ascii="Tahoma" w:hAnsi="Tahoma"/>
        </w:rPr>
        <w:t xml:space="preserve">      „HERTELENDY–BAJIĆ” BOČAR</w:t>
      </w:r>
    </w:p>
    <w:p w:rsidR="00387D2E" w:rsidRDefault="00E00E69" w:rsidP="00387D2E">
      <w:pPr>
        <w:spacing w:after="0" w:line="240" w:lineRule="auto"/>
        <w:ind w:left="-1260" w:right="4931"/>
        <w:rPr>
          <w:rFonts w:ascii="Tahoma" w:eastAsia="Calibri" w:hAnsi="Tahoma" w:cs="Tahoma"/>
        </w:rPr>
      </w:pPr>
      <w:r>
        <w:rPr>
          <w:rFonts w:ascii="Tahoma" w:hAnsi="Tahoma"/>
        </w:rPr>
        <w:t xml:space="preserve">                  Numărul:  28/2024</w:t>
      </w:r>
    </w:p>
    <w:p w:rsidR="00E00E69" w:rsidRPr="00387D2E" w:rsidRDefault="00387D2E" w:rsidP="00387D2E">
      <w:pPr>
        <w:spacing w:after="0" w:line="240" w:lineRule="auto"/>
        <w:ind w:left="-1260" w:right="4931"/>
        <w:rPr>
          <w:rFonts w:ascii="Tahoma" w:eastAsia="Calibri" w:hAnsi="Tahoma" w:cs="Tahoma"/>
        </w:rPr>
      </w:pPr>
      <w:r>
        <w:rPr>
          <w:rFonts w:ascii="Tahoma" w:hAnsi="Tahoma"/>
        </w:rPr>
        <w:t xml:space="preserve">                  Data: 29.01.2024</w:t>
      </w:r>
    </w:p>
    <w:p w:rsidR="00E00E69" w:rsidRPr="00E00E69" w:rsidRDefault="00E00E69">
      <w:pPr>
        <w:rPr>
          <w:rFonts w:ascii="Tahoma" w:hAnsi="Tahoma" w:cs="Tahoma"/>
          <w:lang w:val="sr-Latn-RS"/>
        </w:rPr>
      </w:pPr>
    </w:p>
    <w:p w:rsidR="005F38F3" w:rsidRPr="00F20BEA" w:rsidRDefault="00AB100F">
      <w:pPr>
        <w:rPr>
          <w:rFonts w:ascii="Tahoma" w:hAnsi="Tahoma" w:cs="Tahoma"/>
          <w:sz w:val="20"/>
          <w:szCs w:val="20"/>
        </w:rPr>
      </w:pPr>
      <w:r w:rsidRPr="00F20BEA">
        <w:rPr>
          <w:rFonts w:ascii="Tahoma" w:hAnsi="Tahoma" w:cs="Tahoma"/>
          <w:sz w:val="20"/>
          <w:szCs w:val="20"/>
        </w:rPr>
        <w:t xml:space="preserve">În baza articolului 22 și 29 alineatul 1 punctul 12 din Statutul Centrul creativ ''Hertelendy-Bajić'' Bočar din 25.11.2021, Consiliul de administrație al Centrului Creativ ''Hertelendy-Bajić'' Bočar la I ședință ținută pe data de 29.01.2024, a adoptat  </w:t>
      </w:r>
    </w:p>
    <w:p w:rsidR="005D1E9F" w:rsidRDefault="005D1E9F" w:rsidP="005D1E9F">
      <w:pPr>
        <w:spacing w:after="0"/>
        <w:jc w:val="center"/>
        <w:rPr>
          <w:rFonts w:ascii="Tahoma" w:hAnsi="Tahoma" w:cs="Tahoma"/>
          <w:b/>
        </w:rPr>
      </w:pPr>
      <w:r>
        <w:rPr>
          <w:rFonts w:ascii="Tahoma" w:hAnsi="Tahoma"/>
          <w:b/>
        </w:rPr>
        <w:t xml:space="preserve">HOTĂRÂREA </w:t>
      </w:r>
    </w:p>
    <w:p w:rsidR="00100342" w:rsidRPr="00100342" w:rsidRDefault="00100342" w:rsidP="008A3C24">
      <w:pPr>
        <w:spacing w:after="0"/>
        <w:jc w:val="center"/>
        <w:rPr>
          <w:rFonts w:ascii="Tahoma" w:hAnsi="Tahoma" w:cs="Tahoma"/>
          <w:b/>
        </w:rPr>
      </w:pPr>
      <w:r>
        <w:rPr>
          <w:rFonts w:ascii="Tahoma" w:hAnsi="Tahoma"/>
          <w:b/>
        </w:rPr>
        <w:t>privind publicarea concursului public pentru alegerea directorului Centrului Creativ ''Hertelendy‐Bajić'' Bočar</w:t>
      </w: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br/>
        <w:t>Articolul 1</w:t>
      </w:r>
    </w:p>
    <w:p w:rsidR="00100342" w:rsidRPr="00100342" w:rsidRDefault="00100342" w:rsidP="00100342">
      <w:pPr>
        <w:spacing w:after="0" w:line="240" w:lineRule="auto"/>
        <w:jc w:val="both"/>
        <w:rPr>
          <w:rFonts w:ascii="Tahoma" w:eastAsia="Times New Roman" w:hAnsi="Tahoma" w:cs="Tahoma"/>
          <w:color w:val="1A1617"/>
          <w:sz w:val="20"/>
          <w:szCs w:val="20"/>
        </w:rPr>
      </w:pPr>
      <w:r>
        <w:rPr>
          <w:rFonts w:ascii="Tahoma" w:hAnsi="Tahoma"/>
          <w:sz w:val="20"/>
          <w:szCs w:val="20"/>
        </w:rPr>
        <w:t>Prin prezenta hotărâre se demarează procedura de desfășurarea a concursului public pentru alegerea directorului Centrului Creativ ''Hertelendy- Bajić'' Bočar (în continuare:</w:t>
      </w:r>
      <w:r>
        <w:rPr>
          <w:rFonts w:ascii="Tahoma" w:hAnsi="Tahoma"/>
          <w:color w:val="1A1617"/>
          <w:sz w:val="20"/>
          <w:szCs w:val="20"/>
        </w:rPr>
        <w:t xml:space="preserve"> directorul instituţiei).</w:t>
      </w: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br/>
        <w:t>Articolul 2</w:t>
      </w:r>
    </w:p>
    <w:p w:rsidR="00100342" w:rsidRPr="00100342" w:rsidRDefault="00100342" w:rsidP="00100342">
      <w:pPr>
        <w:spacing w:after="0" w:line="240" w:lineRule="auto"/>
        <w:jc w:val="both"/>
        <w:rPr>
          <w:rFonts w:ascii="Tahoma" w:eastAsia="Times New Roman" w:hAnsi="Tahoma" w:cs="Tahoma"/>
          <w:sz w:val="20"/>
          <w:szCs w:val="20"/>
        </w:rPr>
      </w:pPr>
      <w:r>
        <w:rPr>
          <w:rFonts w:ascii="Tahoma" w:hAnsi="Tahoma"/>
          <w:sz w:val="20"/>
          <w:szCs w:val="20"/>
        </w:rPr>
        <w:t xml:space="preserve">Concursul public prevăzut la articolul 1 al prezentei hotărâri îl desfășoară Comisia de concurs pe care o numește Consiliul de administrație al Centrului Creativ ''Hertelendy – Bajić'' Bočar, printr-o decizie aparte. </w:t>
      </w:r>
    </w:p>
    <w:p w:rsidR="00100342" w:rsidRPr="00100342" w:rsidRDefault="00100342" w:rsidP="00100342">
      <w:pPr>
        <w:spacing w:after="0" w:line="240" w:lineRule="auto"/>
        <w:jc w:val="center"/>
        <w:rPr>
          <w:rFonts w:ascii="Tahoma" w:eastAsia="Times New Roman" w:hAnsi="Tahoma" w:cs="Tahoma"/>
          <w:color w:val="1A1617"/>
          <w:sz w:val="20"/>
          <w:szCs w:val="20"/>
          <w:lang w:val="sr-Cyrl-RS"/>
        </w:rPr>
      </w:pP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t>Articolul 3</w:t>
      </w:r>
    </w:p>
    <w:p w:rsidR="00100342" w:rsidRPr="00F2026A" w:rsidRDefault="00100342" w:rsidP="00100342">
      <w:pPr>
        <w:spacing w:after="0" w:line="240" w:lineRule="auto"/>
        <w:jc w:val="both"/>
        <w:rPr>
          <w:rFonts w:ascii="Tahoma" w:eastAsia="Times New Roman" w:hAnsi="Tahoma" w:cs="Tahoma"/>
          <w:sz w:val="20"/>
          <w:szCs w:val="20"/>
        </w:rPr>
      </w:pPr>
      <w:r>
        <w:rPr>
          <w:rFonts w:ascii="Tahoma" w:hAnsi="Tahoma"/>
          <w:sz w:val="20"/>
          <w:szCs w:val="20"/>
        </w:rPr>
        <w:t>Anunțul privind concursul public conține informații despre instituție, locul de muncă, condițiile de numire a directorului instituției, locul unde și-a desfășurat munca, formarea profesională, ocupațiile și abilitățile care se evaluează în procedura de alegere și modul de verificare a acestora, termenul în care se depun cererile, date despre persoana însărcinată cu acordarea informațiilor despre concursul public, adresa pe care se trimit cererile, informații despre dovezile care se anexează cererii.</w:t>
      </w:r>
    </w:p>
    <w:p w:rsidR="00100342" w:rsidRPr="00100342" w:rsidRDefault="00100342" w:rsidP="00100342">
      <w:pPr>
        <w:spacing w:after="0" w:line="240" w:lineRule="auto"/>
        <w:jc w:val="center"/>
        <w:rPr>
          <w:rFonts w:ascii="Tahoma" w:eastAsia="Times New Roman" w:hAnsi="Tahoma" w:cs="Tahoma"/>
          <w:color w:val="1A1617"/>
          <w:sz w:val="20"/>
          <w:szCs w:val="20"/>
          <w:lang w:val="sr-Cyrl-RS"/>
        </w:rPr>
      </w:pP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t>Articolul 4</w:t>
      </w:r>
    </w:p>
    <w:p w:rsidR="00100342" w:rsidRPr="00100342" w:rsidRDefault="00100342" w:rsidP="00100342">
      <w:pPr>
        <w:spacing w:after="0" w:line="240" w:lineRule="auto"/>
        <w:jc w:val="both"/>
        <w:rPr>
          <w:rFonts w:ascii="Tahoma" w:eastAsia="Times New Roman" w:hAnsi="Tahoma" w:cs="Tahoma"/>
          <w:color w:val="1A1617"/>
          <w:sz w:val="20"/>
          <w:szCs w:val="20"/>
        </w:rPr>
      </w:pPr>
      <w:r>
        <w:rPr>
          <w:rFonts w:ascii="Tahoma" w:hAnsi="Tahoma"/>
          <w:sz w:val="20"/>
          <w:szCs w:val="20"/>
        </w:rPr>
        <w:t>Anunțul privind concursul public pentru alegerea directorului Centrului Creativ ''Hertelendy- Bajić'' Bočar, va fi publicat în termen de 15 zile de la data adoptării Hotărârii privind publicarea concursului public pentru alegerea directorului instituției.</w:t>
      </w:r>
      <w:r>
        <w:rPr>
          <w:rFonts w:ascii="Tahoma" w:hAnsi="Tahoma"/>
          <w:color w:val="1A1617"/>
          <w:sz w:val="20"/>
          <w:szCs w:val="20"/>
        </w:rPr>
        <w:t xml:space="preserve"> </w:t>
      </w:r>
      <w:r>
        <w:rPr>
          <w:rFonts w:ascii="Tahoma" w:hAnsi="Tahoma"/>
          <w:sz w:val="20"/>
          <w:szCs w:val="20"/>
        </w:rPr>
        <w:t xml:space="preserve">Concursul public va fi publicat în cotidianul „Politika”, în „Buletinul oficial al Provinciei Autonome Voivodina”, „Buletinul oficial al Comunei Novi Bečej”, precum și pe pagina de internet a fondatorului. </w:t>
      </w: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br/>
        <w:t>Articolul 5</w:t>
      </w:r>
    </w:p>
    <w:p w:rsidR="00100342" w:rsidRPr="00100342" w:rsidRDefault="00100342" w:rsidP="00100342">
      <w:pPr>
        <w:spacing w:after="0" w:line="240" w:lineRule="auto"/>
        <w:jc w:val="both"/>
        <w:rPr>
          <w:rFonts w:ascii="Tahoma" w:eastAsia="Times New Roman" w:hAnsi="Tahoma" w:cs="Tahoma"/>
          <w:color w:val="1A1617"/>
          <w:sz w:val="20"/>
          <w:szCs w:val="20"/>
        </w:rPr>
      </w:pPr>
      <w:r>
        <w:rPr>
          <w:rFonts w:ascii="Tahoma" w:hAnsi="Tahoma"/>
          <w:color w:val="1A1617"/>
          <w:sz w:val="20"/>
          <w:szCs w:val="20"/>
        </w:rPr>
        <w:t>Persoana responsabilă pentru acordarea informațiilor despre desfășurarea concursului public este președintele Comisiei.</w:t>
      </w:r>
    </w:p>
    <w:p w:rsidR="00100342" w:rsidRPr="00100342" w:rsidRDefault="00100342" w:rsidP="00100342">
      <w:pPr>
        <w:spacing w:after="0" w:line="240" w:lineRule="auto"/>
        <w:jc w:val="both"/>
        <w:rPr>
          <w:rFonts w:ascii="Tahoma" w:eastAsia="Times New Roman" w:hAnsi="Tahoma" w:cs="Tahoma"/>
          <w:color w:val="1A1617"/>
          <w:sz w:val="20"/>
          <w:szCs w:val="20"/>
          <w:lang w:val="sr-Cyrl-RS"/>
        </w:rPr>
      </w:pP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t>Articolul 6</w:t>
      </w:r>
    </w:p>
    <w:p w:rsidR="00100342" w:rsidRPr="00100342" w:rsidRDefault="00100342" w:rsidP="00100342">
      <w:pPr>
        <w:spacing w:after="0" w:line="240" w:lineRule="auto"/>
        <w:jc w:val="both"/>
        <w:rPr>
          <w:rFonts w:ascii="Tahoma" w:eastAsia="Times New Roman" w:hAnsi="Tahoma" w:cs="Tahoma"/>
          <w:color w:val="1A1617"/>
          <w:sz w:val="20"/>
          <w:szCs w:val="20"/>
        </w:rPr>
      </w:pPr>
      <w:r>
        <w:rPr>
          <w:rFonts w:ascii="Tahoma" w:hAnsi="Tahoma"/>
          <w:sz w:val="20"/>
          <w:szCs w:val="20"/>
        </w:rPr>
        <w:t xml:space="preserve">Anunțul privind concursul public se anexează prezentei hotărâri și constituie parte integrantă a acesteia. </w:t>
      </w:r>
    </w:p>
    <w:p w:rsidR="00100342" w:rsidRPr="00100342" w:rsidRDefault="00100342" w:rsidP="00100342">
      <w:pPr>
        <w:spacing w:after="0" w:line="240" w:lineRule="auto"/>
        <w:jc w:val="center"/>
        <w:rPr>
          <w:rFonts w:ascii="Tahoma" w:eastAsia="Times New Roman" w:hAnsi="Tahoma" w:cs="Tahoma"/>
          <w:color w:val="1A1617"/>
          <w:sz w:val="20"/>
          <w:szCs w:val="20"/>
          <w:lang w:val="sr-Cyrl-RS"/>
        </w:rPr>
      </w:pPr>
    </w:p>
    <w:p w:rsidR="00100342" w:rsidRPr="00100342" w:rsidRDefault="00100342" w:rsidP="00100342">
      <w:pPr>
        <w:spacing w:after="0" w:line="240" w:lineRule="auto"/>
        <w:jc w:val="center"/>
        <w:rPr>
          <w:rFonts w:ascii="Tahoma" w:eastAsia="Times New Roman" w:hAnsi="Tahoma" w:cs="Tahoma"/>
          <w:color w:val="1A1617"/>
          <w:sz w:val="20"/>
          <w:szCs w:val="20"/>
        </w:rPr>
      </w:pPr>
      <w:r>
        <w:rPr>
          <w:rFonts w:ascii="Tahoma" w:hAnsi="Tahoma"/>
          <w:color w:val="1A1617"/>
          <w:sz w:val="20"/>
          <w:szCs w:val="20"/>
        </w:rPr>
        <w:t>Articolul 7</w:t>
      </w:r>
    </w:p>
    <w:p w:rsidR="00480372" w:rsidRDefault="00100342" w:rsidP="00FF57AC">
      <w:pPr>
        <w:spacing w:after="0" w:line="240" w:lineRule="auto"/>
        <w:jc w:val="both"/>
        <w:rPr>
          <w:rFonts w:ascii="Tahoma" w:eastAsia="Times New Roman" w:hAnsi="Tahoma" w:cs="Tahoma"/>
          <w:color w:val="1A1617"/>
          <w:sz w:val="20"/>
          <w:szCs w:val="20"/>
        </w:rPr>
      </w:pPr>
      <w:r>
        <w:rPr>
          <w:rFonts w:ascii="Tahoma" w:hAnsi="Tahoma"/>
          <w:color w:val="1A1617"/>
          <w:sz w:val="20"/>
          <w:szCs w:val="20"/>
        </w:rPr>
        <w:t>Prezenta hotărâre intră în vigoare pe data adoptării și va fi publicată în „Buletinul oficial al Provinciei Autonome Voivodina”, „Buletinul oficial al Comunei Novi Bečej”, precum și pe pagina de internet a fondatorului.</w:t>
      </w:r>
    </w:p>
    <w:p w:rsidR="00FF57AC" w:rsidRPr="00E00E69" w:rsidRDefault="00FF57AC" w:rsidP="00FF57AC">
      <w:pPr>
        <w:spacing w:after="0" w:line="240" w:lineRule="auto"/>
        <w:jc w:val="both"/>
        <w:rPr>
          <w:rFonts w:ascii="Tahoma" w:hAnsi="Tahoma" w:cs="Tahoma"/>
          <w:lang w:val="sr-Cyrl-RS"/>
        </w:rPr>
      </w:pPr>
    </w:p>
    <w:p w:rsidR="00480372" w:rsidRPr="00480372" w:rsidRDefault="00BC5341" w:rsidP="00480372">
      <w:pPr>
        <w:tabs>
          <w:tab w:val="left" w:pos="7920"/>
        </w:tabs>
        <w:spacing w:after="0" w:line="240" w:lineRule="auto"/>
        <w:jc w:val="center"/>
        <w:rPr>
          <w:rFonts w:ascii="Tahoma" w:eastAsia="Calibri" w:hAnsi="Tahoma" w:cs="Tahoma"/>
        </w:rPr>
      </w:pPr>
      <w:r>
        <w:rPr>
          <w:rFonts w:ascii="Tahoma" w:hAnsi="Tahoma"/>
        </w:rPr>
        <w:t xml:space="preserve">CONSILIUL DE ADMINISTRAŢIE AL CENTRULUI CREATIV </w:t>
      </w:r>
    </w:p>
    <w:p w:rsidR="00480372" w:rsidRPr="00480372" w:rsidRDefault="00480372" w:rsidP="00480372">
      <w:pPr>
        <w:tabs>
          <w:tab w:val="left" w:pos="7920"/>
        </w:tabs>
        <w:spacing w:after="0" w:line="240" w:lineRule="auto"/>
        <w:jc w:val="center"/>
        <w:rPr>
          <w:rFonts w:ascii="Tahoma" w:eastAsia="Calibri" w:hAnsi="Tahoma" w:cs="Tahoma"/>
        </w:rPr>
      </w:pPr>
      <w:r>
        <w:rPr>
          <w:rFonts w:ascii="Tahoma" w:hAnsi="Tahoma"/>
        </w:rPr>
        <w:t>„HERTELENDY–BAJIĆ” BOČAR</w:t>
      </w:r>
    </w:p>
    <w:p w:rsidR="00480372" w:rsidRPr="00480372" w:rsidRDefault="00480372" w:rsidP="00FF57AC">
      <w:pPr>
        <w:tabs>
          <w:tab w:val="left" w:pos="7920"/>
        </w:tabs>
        <w:spacing w:after="0" w:line="240" w:lineRule="auto"/>
        <w:rPr>
          <w:rFonts w:ascii="Tahoma" w:eastAsia="Calibri" w:hAnsi="Tahoma" w:cs="Tahoma"/>
          <w:lang w:val="sr-Cyrl-CS"/>
        </w:rPr>
      </w:pPr>
    </w:p>
    <w:p w:rsidR="00480372" w:rsidRPr="00480372" w:rsidRDefault="00480372" w:rsidP="00480372">
      <w:pPr>
        <w:tabs>
          <w:tab w:val="left" w:pos="7920"/>
        </w:tabs>
        <w:spacing w:after="0" w:line="240" w:lineRule="auto"/>
        <w:jc w:val="both"/>
        <w:rPr>
          <w:rFonts w:ascii="Tahoma" w:eastAsia="Calibri" w:hAnsi="Tahoma" w:cs="Tahoma"/>
        </w:rPr>
      </w:pPr>
      <w:r>
        <w:rPr>
          <w:rFonts w:ascii="Tahoma" w:hAnsi="Tahoma"/>
        </w:rPr>
        <w:t xml:space="preserve">                                                </w:t>
      </w:r>
      <w:r w:rsidR="00F20BEA">
        <w:rPr>
          <w:rFonts w:ascii="Tahoma" w:hAnsi="Tahoma"/>
        </w:rPr>
        <w:t xml:space="preserve">                           </w:t>
      </w:r>
      <w:bookmarkStart w:id="0" w:name="_GoBack"/>
      <w:bookmarkEnd w:id="0"/>
      <w:r>
        <w:rPr>
          <w:rFonts w:ascii="Tahoma" w:hAnsi="Tahoma"/>
        </w:rPr>
        <w:t xml:space="preserve"> Președintele Consiliului de administrație</w:t>
      </w:r>
    </w:p>
    <w:p w:rsidR="00480372" w:rsidRDefault="00480372" w:rsidP="00480372">
      <w:pPr>
        <w:tabs>
          <w:tab w:val="left" w:pos="7920"/>
        </w:tabs>
        <w:spacing w:after="0" w:line="240" w:lineRule="auto"/>
        <w:jc w:val="both"/>
        <w:rPr>
          <w:rFonts w:ascii="Tahoma" w:eastAsia="Calibri" w:hAnsi="Tahoma" w:cs="Tahoma"/>
        </w:rPr>
      </w:pPr>
      <w:r>
        <w:rPr>
          <w:rFonts w:ascii="Tahoma" w:hAnsi="Tahoma"/>
        </w:rPr>
        <w:t xml:space="preserve">                                                                                        Bojan Rašković</w:t>
      </w:r>
    </w:p>
    <w:p w:rsidR="0001606D" w:rsidRPr="0001606D" w:rsidRDefault="0001606D" w:rsidP="00480372">
      <w:pPr>
        <w:tabs>
          <w:tab w:val="left" w:pos="7920"/>
        </w:tabs>
        <w:spacing w:after="0" w:line="240" w:lineRule="auto"/>
        <w:jc w:val="both"/>
        <w:rPr>
          <w:rFonts w:ascii="Tahoma" w:eastAsia="Calibri" w:hAnsi="Tahoma" w:cs="Tahoma"/>
        </w:rPr>
      </w:pPr>
      <w:r>
        <w:rPr>
          <w:rFonts w:ascii="Tahoma" w:hAnsi="Tahoma"/>
        </w:rPr>
        <w:t xml:space="preserve">                                                                                     _______________________</w:t>
      </w:r>
    </w:p>
    <w:p w:rsidR="00480372" w:rsidRPr="00E00E69" w:rsidRDefault="00480372" w:rsidP="00480372">
      <w:pPr>
        <w:spacing w:after="0"/>
        <w:jc w:val="both"/>
        <w:rPr>
          <w:rFonts w:ascii="Tahoma" w:hAnsi="Tahoma" w:cs="Tahoma"/>
          <w:lang w:val="sr-Cyrl-RS"/>
        </w:rPr>
      </w:pPr>
    </w:p>
    <w:sectPr w:rsidR="00480372" w:rsidRPr="00E00E69" w:rsidSect="00FF57AC">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9F"/>
    <w:rsid w:val="0001606D"/>
    <w:rsid w:val="00077324"/>
    <w:rsid w:val="00100342"/>
    <w:rsid w:val="001329C5"/>
    <w:rsid w:val="001678C0"/>
    <w:rsid w:val="0017092B"/>
    <w:rsid w:val="002A4866"/>
    <w:rsid w:val="002B258B"/>
    <w:rsid w:val="00387D2E"/>
    <w:rsid w:val="003A7319"/>
    <w:rsid w:val="003C1191"/>
    <w:rsid w:val="00467BB5"/>
    <w:rsid w:val="00480372"/>
    <w:rsid w:val="004F42EC"/>
    <w:rsid w:val="005D1E9F"/>
    <w:rsid w:val="005F38F3"/>
    <w:rsid w:val="006D4760"/>
    <w:rsid w:val="007A11EB"/>
    <w:rsid w:val="00832C08"/>
    <w:rsid w:val="008A3C24"/>
    <w:rsid w:val="009D00F5"/>
    <w:rsid w:val="00A163F1"/>
    <w:rsid w:val="00AB100F"/>
    <w:rsid w:val="00B406A2"/>
    <w:rsid w:val="00B66FE1"/>
    <w:rsid w:val="00B90D4E"/>
    <w:rsid w:val="00B97822"/>
    <w:rsid w:val="00BA168A"/>
    <w:rsid w:val="00BC5341"/>
    <w:rsid w:val="00DA1F02"/>
    <w:rsid w:val="00E00E69"/>
    <w:rsid w:val="00E5051A"/>
    <w:rsid w:val="00F2026A"/>
    <w:rsid w:val="00F20BEA"/>
    <w:rsid w:val="00F563F9"/>
    <w:rsid w:val="00FF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04F6"/>
  <w15:docId w15:val="{87CD8A28-59A6-43D1-BB8B-0B4E07D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Florina Vinka</cp:lastModifiedBy>
  <cp:revision>3</cp:revision>
  <cp:lastPrinted>2024-01-29T07:28:00Z</cp:lastPrinted>
  <dcterms:created xsi:type="dcterms:W3CDTF">2024-02-07T08:05:00Z</dcterms:created>
  <dcterms:modified xsi:type="dcterms:W3CDTF">2024-02-07T10:57:00Z</dcterms:modified>
</cp:coreProperties>
</file>