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D4" w:rsidRPr="00FB2625" w:rsidRDefault="005801D4" w:rsidP="005801D4">
      <w:pPr>
        <w:rPr>
          <w:lang w:val="sr-Cyrl-RS"/>
        </w:rPr>
      </w:pPr>
    </w:p>
    <w:p w:rsidR="005801D4" w:rsidRDefault="005801D4" w:rsidP="005801D4"/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747"/>
        <w:gridCol w:w="4908"/>
      </w:tblGrid>
      <w:tr w:rsidR="005801D4" w:rsidRPr="00E74B97" w:rsidTr="002D012A">
        <w:trPr>
          <w:trHeight w:val="1975"/>
        </w:trPr>
        <w:tc>
          <w:tcPr>
            <w:tcW w:w="2552" w:type="dxa"/>
          </w:tcPr>
          <w:p w:rsidR="005801D4" w:rsidRPr="00E74B97" w:rsidRDefault="005801D4" w:rsidP="002D012A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5D0E8E">
              <w:rPr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1487805" cy="962025"/>
                  <wp:effectExtent l="0" t="0" r="0" b="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5801D4" w:rsidRPr="00E74B97" w:rsidRDefault="005801D4" w:rsidP="002D012A">
            <w:pPr>
              <w:tabs>
                <w:tab w:val="center" w:pos="4703"/>
                <w:tab w:val="right" w:pos="9406"/>
              </w:tabs>
              <w:rPr>
                <w:color w:val="000000"/>
                <w:sz w:val="14"/>
                <w:szCs w:val="20"/>
              </w:rPr>
            </w:pPr>
          </w:p>
          <w:p w:rsidR="005801D4" w:rsidRPr="00E74B97" w:rsidRDefault="005801D4" w:rsidP="002D012A">
            <w:pPr>
              <w:tabs>
                <w:tab w:val="center" w:pos="4703"/>
                <w:tab w:val="right" w:pos="9406"/>
              </w:tabs>
              <w:rPr>
                <w:color w:val="000000"/>
                <w:sz w:val="14"/>
                <w:szCs w:val="20"/>
              </w:rPr>
            </w:pPr>
          </w:p>
          <w:p w:rsidR="005801D4" w:rsidRPr="005801D4" w:rsidRDefault="005801D4" w:rsidP="002D012A">
            <w:pPr>
              <w:tabs>
                <w:tab w:val="center" w:pos="4703"/>
                <w:tab w:val="right" w:pos="9406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Srbská republika</w:t>
            </w:r>
          </w:p>
          <w:p w:rsidR="005801D4" w:rsidRPr="006045E7" w:rsidRDefault="005801D4" w:rsidP="002D012A">
            <w:pPr>
              <w:rPr>
                <w:sz w:val="18"/>
                <w:szCs w:val="20"/>
                <w:lang w:val="ru-RU"/>
              </w:rPr>
            </w:pPr>
            <w:r w:rsidRPr="006045E7">
              <w:rPr>
                <w:sz w:val="18"/>
                <w:szCs w:val="20"/>
                <w:lang w:val="ru-RU"/>
              </w:rPr>
              <w:t>А</w:t>
            </w:r>
            <w:r>
              <w:rPr>
                <w:sz w:val="18"/>
                <w:szCs w:val="20"/>
              </w:rPr>
              <w:t>utonómna pokrajina Vojvodina</w:t>
            </w:r>
          </w:p>
          <w:p w:rsidR="005801D4" w:rsidRPr="006045E7" w:rsidRDefault="005801D4" w:rsidP="002D012A">
            <w:pPr>
              <w:rPr>
                <w:sz w:val="2"/>
                <w:szCs w:val="16"/>
                <w:lang w:val="ru-RU"/>
              </w:rPr>
            </w:pPr>
          </w:p>
          <w:p w:rsidR="005801D4" w:rsidRDefault="005801D4" w:rsidP="002D012A">
            <w:pPr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</w:rPr>
              <w:t xml:space="preserve">Pokrajinský sekretariát vzdelávania, predpisov, správy </w:t>
            </w:r>
          </w:p>
          <w:p w:rsidR="005801D4" w:rsidRPr="006045E7" w:rsidRDefault="005801D4" w:rsidP="002D012A">
            <w:pPr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</w:rPr>
              <w:t xml:space="preserve">a národnostných menšín </w:t>
            </w:r>
            <w:r w:rsidRPr="006045E7">
              <w:rPr>
                <w:rFonts w:cs="Arial"/>
                <w:b/>
                <w:lang w:val="ru-RU"/>
              </w:rPr>
              <w:t xml:space="preserve">– </w:t>
            </w:r>
            <w:r>
              <w:rPr>
                <w:rFonts w:cs="Arial"/>
                <w:b/>
              </w:rPr>
              <w:t>národnostných spoločenstiev</w:t>
            </w:r>
          </w:p>
          <w:p w:rsidR="005801D4" w:rsidRPr="006045E7" w:rsidRDefault="005801D4" w:rsidP="002D012A">
            <w:pPr>
              <w:rPr>
                <w:rFonts w:cs="Arial"/>
                <w:b/>
                <w:sz w:val="16"/>
                <w:lang w:val="ru-RU"/>
              </w:rPr>
            </w:pPr>
          </w:p>
          <w:p w:rsidR="005801D4" w:rsidRPr="006045E7" w:rsidRDefault="005801D4" w:rsidP="002D012A">
            <w:pPr>
              <w:tabs>
                <w:tab w:val="center" w:pos="4703"/>
                <w:tab w:val="right" w:pos="9406"/>
              </w:tabs>
              <w:rPr>
                <w:sz w:val="6"/>
                <w:szCs w:val="16"/>
                <w:lang w:val="ru-RU"/>
              </w:rPr>
            </w:pPr>
          </w:p>
          <w:p w:rsidR="005801D4" w:rsidRPr="006045E7" w:rsidRDefault="005801D4" w:rsidP="002D012A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</w:rPr>
              <w:t xml:space="preserve">Bulvár Mihajla Pupina </w:t>
            </w:r>
            <w:r w:rsidRPr="006045E7">
              <w:rPr>
                <w:sz w:val="16"/>
                <w:szCs w:val="16"/>
                <w:lang w:val="ru-RU"/>
              </w:rPr>
              <w:t xml:space="preserve">16, 21000 </w:t>
            </w:r>
            <w:r>
              <w:rPr>
                <w:sz w:val="16"/>
                <w:szCs w:val="16"/>
              </w:rPr>
              <w:t>Nový Sad</w:t>
            </w:r>
          </w:p>
          <w:p w:rsidR="005801D4" w:rsidRPr="006045E7" w:rsidRDefault="005801D4" w:rsidP="002D012A">
            <w:pPr>
              <w:tabs>
                <w:tab w:val="center" w:pos="4703"/>
                <w:tab w:val="right" w:pos="9406"/>
              </w:tabs>
              <w:rPr>
                <w:color w:val="FF0000"/>
                <w:sz w:val="16"/>
                <w:szCs w:val="16"/>
                <w:lang w:val="ru-RU"/>
              </w:rPr>
            </w:pPr>
            <w:r w:rsidRPr="006045E7">
              <w:rPr>
                <w:sz w:val="16"/>
                <w:szCs w:val="16"/>
                <w:lang w:val="ru-RU"/>
              </w:rPr>
              <w:t xml:space="preserve">Т: +381 21  487  4427, </w:t>
            </w:r>
            <w:r w:rsidRPr="00EC3C29">
              <w:rPr>
                <w:sz w:val="16"/>
                <w:szCs w:val="16"/>
              </w:rPr>
              <w:t>F</w:t>
            </w:r>
            <w:r w:rsidRPr="006045E7">
              <w:rPr>
                <w:sz w:val="16"/>
                <w:szCs w:val="16"/>
                <w:lang w:val="ru-RU"/>
              </w:rPr>
              <w:t>:+38121557074</w:t>
            </w:r>
          </w:p>
          <w:p w:rsidR="005801D4" w:rsidRPr="00E74B97" w:rsidRDefault="005801D4" w:rsidP="002D012A">
            <w:pPr>
              <w:tabs>
                <w:tab w:val="center" w:pos="4703"/>
                <w:tab w:val="right" w:pos="9406"/>
              </w:tabs>
              <w:rPr>
                <w:color w:val="000000"/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Pso</w:t>
            </w:r>
            <w:r w:rsidRPr="006522B2">
              <w:rPr>
                <w:sz w:val="16"/>
                <w:szCs w:val="16"/>
              </w:rPr>
              <w:t>unz@vojvodinа.gov.rs</w:t>
            </w:r>
          </w:p>
        </w:tc>
      </w:tr>
      <w:tr w:rsidR="005801D4" w:rsidRPr="00E74B97" w:rsidTr="002D012A">
        <w:trPr>
          <w:trHeight w:val="305"/>
        </w:trPr>
        <w:tc>
          <w:tcPr>
            <w:tcW w:w="2552" w:type="dxa"/>
          </w:tcPr>
          <w:p w:rsidR="005801D4" w:rsidRPr="00222084" w:rsidRDefault="005801D4" w:rsidP="002D012A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highlight w:val="yellow"/>
                <w:lang w:val="ru-RU"/>
              </w:rPr>
            </w:pPr>
          </w:p>
        </w:tc>
        <w:tc>
          <w:tcPr>
            <w:tcW w:w="2747" w:type="dxa"/>
          </w:tcPr>
          <w:p w:rsidR="005801D4" w:rsidRPr="0032275C" w:rsidRDefault="005801D4" w:rsidP="002D012A">
            <w:pPr>
              <w:tabs>
                <w:tab w:val="center" w:pos="4703"/>
                <w:tab w:val="right" w:pos="9406"/>
              </w:tabs>
              <w:rPr>
                <w:sz w:val="16"/>
                <w:szCs w:val="16"/>
              </w:rPr>
            </w:pPr>
          </w:p>
          <w:p w:rsidR="005801D4" w:rsidRPr="0032275C" w:rsidRDefault="005801D4" w:rsidP="002D012A">
            <w:pPr>
              <w:tabs>
                <w:tab w:val="center" w:pos="4703"/>
                <w:tab w:val="right" w:pos="94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</w:t>
            </w:r>
            <w:r w:rsidRPr="0032275C">
              <w:rPr>
                <w:sz w:val="16"/>
                <w:szCs w:val="16"/>
                <w:lang w:val="sr-Cyrl-RS"/>
              </w:rPr>
              <w:t xml:space="preserve">: </w:t>
            </w:r>
            <w:r w:rsidRPr="0032275C">
              <w:rPr>
                <w:sz w:val="16"/>
                <w:szCs w:val="16"/>
              </w:rPr>
              <w:t>002577267 2024 09427 002 001 112 006 04 003</w:t>
            </w:r>
          </w:p>
        </w:tc>
        <w:tc>
          <w:tcPr>
            <w:tcW w:w="4908" w:type="dxa"/>
          </w:tcPr>
          <w:p w:rsidR="005801D4" w:rsidRPr="0032275C" w:rsidRDefault="005801D4" w:rsidP="002D012A">
            <w:pPr>
              <w:tabs>
                <w:tab w:val="center" w:pos="4703"/>
                <w:tab w:val="right" w:pos="9406"/>
              </w:tabs>
              <w:rPr>
                <w:sz w:val="16"/>
                <w:szCs w:val="16"/>
              </w:rPr>
            </w:pPr>
          </w:p>
          <w:p w:rsidR="005801D4" w:rsidRPr="0032275C" w:rsidRDefault="005801D4" w:rsidP="002D012A">
            <w:pPr>
              <w:tabs>
                <w:tab w:val="center" w:pos="4703"/>
                <w:tab w:val="right" w:pos="9406"/>
              </w:tabs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DÁTUM</w:t>
            </w:r>
            <w:r w:rsidRPr="0032275C">
              <w:rPr>
                <w:sz w:val="16"/>
                <w:szCs w:val="16"/>
              </w:rPr>
              <w:t>:</w:t>
            </w:r>
            <w:r w:rsidRPr="0032275C">
              <w:rPr>
                <w:sz w:val="16"/>
                <w:szCs w:val="16"/>
                <w:lang w:val="sr-Cyrl-RS"/>
              </w:rPr>
              <w:t xml:space="preserve"> 5.9.2024</w:t>
            </w:r>
          </w:p>
          <w:p w:rsidR="005801D4" w:rsidRPr="0032275C" w:rsidRDefault="005801D4" w:rsidP="002D012A">
            <w:pPr>
              <w:tabs>
                <w:tab w:val="center" w:pos="4703"/>
                <w:tab w:val="right" w:pos="9406"/>
              </w:tabs>
              <w:rPr>
                <w:sz w:val="16"/>
                <w:szCs w:val="16"/>
                <w:lang w:val="sr-Cyrl-RS"/>
              </w:rPr>
            </w:pPr>
          </w:p>
          <w:p w:rsidR="005801D4" w:rsidRPr="0032275C" w:rsidRDefault="005801D4" w:rsidP="002D012A">
            <w:pPr>
              <w:tabs>
                <w:tab w:val="center" w:pos="4703"/>
                <w:tab w:val="right" w:pos="9406"/>
              </w:tabs>
              <w:rPr>
                <w:sz w:val="16"/>
                <w:szCs w:val="16"/>
                <w:lang w:val="sr-Cyrl-RS"/>
              </w:rPr>
            </w:pPr>
          </w:p>
        </w:tc>
      </w:tr>
    </w:tbl>
    <w:p w:rsidR="005801D4" w:rsidRDefault="005801D4" w:rsidP="005801D4">
      <w:pPr>
        <w:pStyle w:val="BodyText"/>
        <w:spacing w:before="59" w:line="276" w:lineRule="auto"/>
        <w:ind w:right="117"/>
        <w:jc w:val="both"/>
      </w:pPr>
    </w:p>
    <w:p w:rsidR="0057321C" w:rsidRDefault="00F658D6">
      <w:pPr>
        <w:pStyle w:val="BodyText"/>
        <w:spacing w:before="59" w:line="276" w:lineRule="auto"/>
        <w:ind w:left="996" w:right="117" w:firstLine="719"/>
        <w:jc w:val="both"/>
      </w:pPr>
      <w:r>
        <w:t xml:space="preserve">Podľa článku 83 </w:t>
      </w:r>
      <w:r>
        <w:t>Zákona o zamestnancoch v autonómnych pokrajinách a jednotkách lokálnej samosprávy (vestník Službeni glasnik RS číslo 21/16, 113/17, 113/ 17 – iný zákon, 95/18, 114/21 a 92/23) a čl. 6 a 11 Vyhlášky o vykonávaní interných a verejných súbehov na obsadzovanie</w:t>
      </w:r>
      <w:r>
        <w:t xml:space="preserve"> voľných pracovných miest v autonómnych pokrajinách a jednotkách lokálnej samosprávy (vestník Službeni glasnik RS číslo 107/23) uverejňuje sa</w:t>
      </w:r>
    </w:p>
    <w:p w:rsidR="0057321C" w:rsidRDefault="0057321C">
      <w:pPr>
        <w:pStyle w:val="BodyText"/>
        <w:spacing w:before="7"/>
        <w:rPr>
          <w:sz w:val="16"/>
        </w:rPr>
      </w:pPr>
    </w:p>
    <w:p w:rsidR="0057321C" w:rsidRDefault="00F658D6">
      <w:pPr>
        <w:pStyle w:val="Heading1"/>
        <w:spacing w:line="276" w:lineRule="auto"/>
        <w:ind w:left="1411" w:right="531" w:hanging="4"/>
        <w:jc w:val="center"/>
      </w:pPr>
      <w:r>
        <w:t>INTERNÝ SÚBEH NA OBSADENIE VYKONÁVATEĽSKÉHO PRACOVNÉHO MIESTA V POKRAJINSKOM SEKRETARIÁTE VZDELÁVANIA, PREDPISOV,</w:t>
      </w:r>
      <w:r>
        <w:t xml:space="preserve"> SPRÁVY A NÁRODNOSTNÝCH MENŠÍN – NÁRODNOSTNÝCH SPOLOČENSTIEV</w:t>
      </w:r>
    </w:p>
    <w:p w:rsidR="0057321C" w:rsidRDefault="0057321C">
      <w:pPr>
        <w:pStyle w:val="BodyText"/>
        <w:rPr>
          <w:b/>
        </w:rPr>
      </w:pPr>
    </w:p>
    <w:p w:rsidR="0057321C" w:rsidRDefault="0057321C">
      <w:pPr>
        <w:pStyle w:val="BodyText"/>
        <w:spacing w:before="4"/>
        <w:rPr>
          <w:b/>
          <w:sz w:val="19"/>
        </w:rPr>
      </w:pPr>
    </w:p>
    <w:p w:rsidR="0057321C" w:rsidRDefault="00F658D6">
      <w:pPr>
        <w:pStyle w:val="BodyText"/>
        <w:spacing w:line="276" w:lineRule="auto"/>
        <w:ind w:left="996" w:right="126"/>
        <w:jc w:val="both"/>
      </w:pPr>
      <w:r>
        <w:t>Všetky výrazy, pojmy, podstatné mená, prídavné mená a slovesá v tomto oznámení, ktoré sú použité v mužskom gramatickom rode, sa bez diskriminácie týkajú aj osôb ženského pohlavia.</w:t>
      </w:r>
    </w:p>
    <w:p w:rsidR="0057321C" w:rsidRDefault="0057321C">
      <w:pPr>
        <w:pStyle w:val="BodyText"/>
        <w:spacing w:before="4"/>
        <w:rPr>
          <w:sz w:val="16"/>
        </w:rPr>
      </w:pPr>
    </w:p>
    <w:p w:rsidR="0057321C" w:rsidRDefault="00F658D6">
      <w:pPr>
        <w:pStyle w:val="BodyText"/>
        <w:spacing w:line="276" w:lineRule="auto"/>
        <w:ind w:left="996" w:right="116"/>
        <w:jc w:val="both"/>
      </w:pPr>
      <w:r>
        <w:t>Interného sú</w:t>
      </w:r>
      <w:r>
        <w:t>behu sa majú právo zúčastniť úradníci v pracovnom pomere na dobu neurčitú v orgánoch APV, ako aj v službách a organizáciách zriadených príslušným orgánom APV a úradníci v rovnakej pracovnej pozícii alebo úradníci, ktorí spĺňajú podmienky na povýšenie do ho</w:t>
      </w:r>
      <w:r>
        <w:t>dnosti, v ktorej sa obsadzujú.</w:t>
      </w:r>
    </w:p>
    <w:p w:rsidR="0057321C" w:rsidRDefault="0057321C">
      <w:pPr>
        <w:pStyle w:val="BodyText"/>
      </w:pPr>
    </w:p>
    <w:p w:rsidR="0057321C" w:rsidRDefault="0057321C">
      <w:pPr>
        <w:pStyle w:val="BodyText"/>
        <w:spacing w:before="4"/>
        <w:rPr>
          <w:sz w:val="19"/>
        </w:rPr>
      </w:pPr>
    </w:p>
    <w:p w:rsidR="0057321C" w:rsidRDefault="00F658D6" w:rsidP="005801D4">
      <w:pPr>
        <w:pStyle w:val="Heading1"/>
        <w:tabs>
          <w:tab w:val="left" w:pos="1095"/>
        </w:tabs>
      </w:pPr>
      <w:r>
        <w:t>I. Orgán, v ktorom sa obsadzuje voľné pracovné miesto:</w:t>
      </w:r>
    </w:p>
    <w:p w:rsidR="0057321C" w:rsidRDefault="0057321C">
      <w:pPr>
        <w:pStyle w:val="BodyText"/>
        <w:spacing w:before="6"/>
        <w:rPr>
          <w:b/>
          <w:sz w:val="19"/>
        </w:rPr>
      </w:pPr>
    </w:p>
    <w:p w:rsidR="0057321C" w:rsidRDefault="00F658D6">
      <w:pPr>
        <w:pStyle w:val="BodyText"/>
        <w:spacing w:before="1"/>
        <w:ind w:left="996"/>
      </w:pPr>
      <w:r>
        <w:t>Pokrajinský sekretariát vzdelávania, predpisov, správy a národnostných menšín – národnostných spoločenstiev</w:t>
      </w:r>
    </w:p>
    <w:p w:rsidR="0057321C" w:rsidRDefault="0057321C">
      <w:pPr>
        <w:pStyle w:val="BodyText"/>
        <w:spacing w:before="3"/>
        <w:rPr>
          <w:sz w:val="19"/>
        </w:rPr>
      </w:pPr>
    </w:p>
    <w:p w:rsidR="0057321C" w:rsidRDefault="005801D4" w:rsidP="005801D4">
      <w:pPr>
        <w:pStyle w:val="Heading1"/>
        <w:numPr>
          <w:ilvl w:val="0"/>
          <w:numId w:val="3"/>
        </w:numPr>
        <w:tabs>
          <w:tab w:val="left" w:pos="1175"/>
        </w:tabs>
        <w:spacing w:line="276" w:lineRule="auto"/>
        <w:ind w:right="116"/>
        <w:jc w:val="both"/>
      </w:pPr>
      <w:r>
        <w:t xml:space="preserve"> </w:t>
      </w:r>
      <w:r w:rsidR="00F658D6">
        <w:t xml:space="preserve">Pracovné miesto, ktoré sa má obsadiť, je: </w:t>
      </w:r>
      <w:r w:rsidR="00F658D6">
        <w:t>radca pre správne a všeobecné právne záležitosti v Skupine pre predpisy v Sektore pre predpisy, 1 vykonávateľ (položka 30)</w:t>
      </w:r>
    </w:p>
    <w:p w:rsidR="0057321C" w:rsidRDefault="0057321C">
      <w:pPr>
        <w:pStyle w:val="BodyText"/>
        <w:rPr>
          <w:b/>
        </w:rPr>
      </w:pPr>
    </w:p>
    <w:p w:rsidR="0057321C" w:rsidRDefault="00F658D6" w:rsidP="005801D4">
      <w:pPr>
        <w:pStyle w:val="ListParagraph"/>
        <w:numPr>
          <w:ilvl w:val="0"/>
          <w:numId w:val="3"/>
        </w:numPr>
        <w:tabs>
          <w:tab w:val="left" w:pos="1201"/>
        </w:tabs>
        <w:spacing w:before="157"/>
        <w:rPr>
          <w:b/>
          <w:sz w:val="20"/>
        </w:rPr>
      </w:pPr>
      <w:r>
        <w:rPr>
          <w:b/>
          <w:sz w:val="20"/>
        </w:rPr>
        <w:t>Pracovná náplň:</w:t>
      </w:r>
    </w:p>
    <w:p w:rsidR="0057321C" w:rsidRDefault="00F658D6">
      <w:pPr>
        <w:pStyle w:val="BodyText"/>
        <w:spacing w:before="157"/>
        <w:ind w:left="996" w:right="121"/>
        <w:jc w:val="both"/>
      </w:pPr>
      <w:r>
        <w:t>Vykonáva zložité normatívne a administratívno-právne úlohy v oblasti pracovnoprávnych vzťahov, vedie konania v správ</w:t>
      </w:r>
      <w:r>
        <w:t>nych veciach, podieľa sa na príprave návrhov aktov pre Zhromaždenie a Pokrajinskú vládu, ktoré sa týkajú formovania orgánov pokrajinskej správy, návrhov aktov pre Zhromaždenie a Pokrajinskú vládu, ktoré sa týkajú  organizácie a práce orgánov pokrajinskej s</w:t>
      </w:r>
      <w:r>
        <w:t>právy,  pripravuje stanoviská k aktom vypracovaným inými oprávnenými navrhovateľmi, z hľadiska súladu tých aktov s inými predpismi a právnym poriadkom a z pohľadu právnych noriem.</w:t>
      </w:r>
    </w:p>
    <w:p w:rsidR="0057321C" w:rsidRDefault="005801D4" w:rsidP="005801D4">
      <w:pPr>
        <w:pStyle w:val="Heading1"/>
        <w:numPr>
          <w:ilvl w:val="0"/>
          <w:numId w:val="3"/>
        </w:numPr>
        <w:tabs>
          <w:tab w:val="left" w:pos="1213"/>
        </w:tabs>
        <w:spacing w:before="120"/>
        <w:ind w:left="1212" w:hanging="216"/>
        <w:rPr>
          <w:b w:val="0"/>
        </w:rPr>
      </w:pPr>
      <w:r>
        <w:t xml:space="preserve"> </w:t>
      </w:r>
      <w:r w:rsidR="00F658D6">
        <w:t>Podmienky:</w:t>
      </w:r>
    </w:p>
    <w:p w:rsidR="0057321C" w:rsidRDefault="00F658D6">
      <w:pPr>
        <w:pStyle w:val="BodyText"/>
        <w:spacing w:before="121"/>
        <w:ind w:left="996" w:right="116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Všeobecné podmienky pre prácu v orgánoch Autonómnej pokrajiny Vojvodiny:</w:t>
      </w:r>
      <w:r>
        <w:t xml:space="preserve"> že účastník interného súbehu je plnoletý občan Srbskej republiky; že má predpísané vzdelanie, že mu nebol uložený nepodmienečný trest odňatia slobody v trvaní najmenej šesť mesiacov a</w:t>
      </w:r>
      <w:r>
        <w:t xml:space="preserve"> že nebol predtým prepustený z práce</w:t>
      </w:r>
    </w:p>
    <w:p w:rsidR="0057321C" w:rsidRDefault="0057321C">
      <w:pPr>
        <w:jc w:val="both"/>
        <w:sectPr w:rsidR="0057321C">
          <w:type w:val="continuous"/>
          <w:pgSz w:w="11910" w:h="16840"/>
          <w:pgMar w:top="1580" w:right="1300" w:bottom="280" w:left="420" w:header="720" w:footer="720" w:gutter="0"/>
          <w:cols w:space="720"/>
        </w:sectPr>
      </w:pPr>
    </w:p>
    <w:p w:rsidR="0057321C" w:rsidRDefault="00F658D6">
      <w:pPr>
        <w:pStyle w:val="BodyText"/>
        <w:spacing w:before="29"/>
        <w:ind w:left="996" w:right="124"/>
        <w:jc w:val="both"/>
      </w:pPr>
      <w:r>
        <w:lastRenderedPageBreak/>
        <w:t>v štátnom orgáne, t. j. orgáne autonómnej pokrajiny a jednotky lokálnej samosprávy z dôvodu závažného porušenia povinnosti zo služobného pomeru splniť ďalšie podmienky určené zákonom, inými predpismi a aktom o systematizácii pracovísk.</w:t>
      </w:r>
    </w:p>
    <w:p w:rsidR="0057321C" w:rsidRDefault="00F658D6">
      <w:pPr>
        <w:pStyle w:val="BodyText"/>
        <w:spacing w:before="120"/>
        <w:ind w:left="996" w:right="114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Podmienky na pracov</w:t>
      </w:r>
      <w:r>
        <w:rPr>
          <w:u w:val="single"/>
        </w:rPr>
        <w:t>né miesto</w:t>
      </w:r>
      <w:r>
        <w:t>: vysokoškolské vzdelanie získané v oblasti právnych vied na základnom akademickom štúdiu v rozsahu najmenej 240 ESPB kreditov, master akademickom štúdiu, master odbornom štúdiu, špecializačnom akademickom štúdiu, špecializačnom odbornom štúdiu, t</w:t>
      </w:r>
      <w:r>
        <w:t>. j. základnom štúdiu v ​​trvaní najmenej štyri roky alebo špecializačnom štúdiu na fakulte, minimálne tri roky praxe v odbore, základná úroveň práce s počítačom, absolvovaná štátna odborná skúška, ako aj potrebné kompetencie na plnenie úloh.</w:t>
      </w:r>
    </w:p>
    <w:p w:rsidR="0057321C" w:rsidRDefault="0057321C">
      <w:pPr>
        <w:pStyle w:val="BodyText"/>
        <w:rPr>
          <w:sz w:val="16"/>
        </w:rPr>
      </w:pPr>
    </w:p>
    <w:p w:rsidR="0057321C" w:rsidRDefault="00F658D6" w:rsidP="00CF17C6">
      <w:pPr>
        <w:pStyle w:val="Heading1"/>
        <w:numPr>
          <w:ilvl w:val="0"/>
          <w:numId w:val="3"/>
        </w:numPr>
        <w:tabs>
          <w:tab w:val="left" w:pos="1160"/>
        </w:tabs>
      </w:pPr>
      <w:r>
        <w:t xml:space="preserve"> Druh pr</w:t>
      </w:r>
      <w:r>
        <w:t>acovného pomeru</w:t>
      </w:r>
    </w:p>
    <w:p w:rsidR="0057321C" w:rsidRDefault="00F658D6">
      <w:pPr>
        <w:pStyle w:val="BodyText"/>
        <w:spacing w:before="36"/>
        <w:ind w:left="996"/>
      </w:pPr>
      <w:r>
        <w:t>Interný konkurz bol vyhlásený za účelom vzniku pracovného pomeru na dobu neurčitú.</w:t>
      </w:r>
    </w:p>
    <w:p w:rsidR="0057321C" w:rsidRDefault="0057321C">
      <w:pPr>
        <w:pStyle w:val="BodyText"/>
        <w:rPr>
          <w:sz w:val="26"/>
        </w:rPr>
      </w:pPr>
    </w:p>
    <w:p w:rsidR="0057321C" w:rsidRDefault="00F658D6" w:rsidP="005801D4">
      <w:pPr>
        <w:pStyle w:val="ListParagraph"/>
        <w:numPr>
          <w:ilvl w:val="0"/>
          <w:numId w:val="3"/>
        </w:numPr>
        <w:tabs>
          <w:tab w:val="left" w:pos="1259"/>
        </w:tabs>
        <w:spacing w:before="1"/>
        <w:ind w:left="1258" w:hanging="262"/>
        <w:rPr>
          <w:sz w:val="20"/>
        </w:rPr>
      </w:pPr>
      <w:r>
        <w:rPr>
          <w:b/>
          <w:sz w:val="20"/>
        </w:rPr>
        <w:t xml:space="preserve">Miesto práce: </w:t>
      </w:r>
      <w:r>
        <w:rPr>
          <w:sz w:val="20"/>
        </w:rPr>
        <w:t>Nový Sad, Bulvár Mihajla Pupina 16.</w:t>
      </w:r>
    </w:p>
    <w:p w:rsidR="0057321C" w:rsidRDefault="0057321C">
      <w:pPr>
        <w:pStyle w:val="BodyText"/>
        <w:spacing w:before="12"/>
        <w:rPr>
          <w:sz w:val="28"/>
        </w:rPr>
      </w:pPr>
    </w:p>
    <w:p w:rsidR="0057321C" w:rsidRDefault="00F658D6" w:rsidP="005801D4">
      <w:pPr>
        <w:pStyle w:val="Heading1"/>
        <w:numPr>
          <w:ilvl w:val="0"/>
          <w:numId w:val="3"/>
        </w:numPr>
        <w:tabs>
          <w:tab w:val="left" w:pos="1359"/>
        </w:tabs>
        <w:spacing w:line="276" w:lineRule="auto"/>
        <w:ind w:left="996" w:right="117" w:firstLine="0"/>
        <w:jc w:val="both"/>
        <w:rPr>
          <w:b w:val="0"/>
        </w:rPr>
      </w:pPr>
      <w:r>
        <w:t>Výber kandidátov je založený na odbornej kvalifikácii, vedomostiach a zručnostiach, teda testovaní všeob</w:t>
      </w:r>
      <w:r>
        <w:t xml:space="preserve">ecných a špeciálnych funkčných kompetencií a motivácie pre prácu na pracovnom mieste. </w:t>
      </w:r>
      <w:r>
        <w:t>Volebné konanie sa uskutočňuje písomnou a ústnou skúškou a pohovorom s kandidátmi.</w:t>
      </w:r>
    </w:p>
    <w:p w:rsidR="0057321C" w:rsidRDefault="00F658D6">
      <w:pPr>
        <w:pStyle w:val="BodyText"/>
        <w:spacing w:before="1"/>
        <w:ind w:left="996"/>
      </w:pPr>
      <w:r>
        <w:t>Vo volebnom konaní budú testované tieto kompetencie:</w:t>
      </w:r>
    </w:p>
    <w:p w:rsidR="00CF17C6" w:rsidRDefault="00CF17C6" w:rsidP="00CF17C6">
      <w:pPr>
        <w:pStyle w:val="ListParagraph"/>
        <w:numPr>
          <w:ilvl w:val="1"/>
          <w:numId w:val="3"/>
        </w:numPr>
        <w:tabs>
          <w:tab w:val="left" w:pos="1716"/>
          <w:tab w:val="left" w:pos="1717"/>
        </w:tabs>
        <w:spacing w:before="159" w:line="340" w:lineRule="atLeast"/>
        <w:ind w:right="5220"/>
        <w:rPr>
          <w:sz w:val="20"/>
        </w:rPr>
      </w:pPr>
      <w:r>
        <w:rPr>
          <w:sz w:val="20"/>
        </w:rPr>
        <w:t xml:space="preserve">Osobitné funkčné kompetencie </w:t>
      </w:r>
    </w:p>
    <w:p w:rsidR="0057321C" w:rsidRDefault="00CF17C6" w:rsidP="00CF17C6">
      <w:pPr>
        <w:pStyle w:val="ListParagraph"/>
        <w:tabs>
          <w:tab w:val="left" w:pos="1716"/>
          <w:tab w:val="left" w:pos="1717"/>
        </w:tabs>
        <w:spacing w:before="159" w:line="340" w:lineRule="atLeast"/>
        <w:ind w:left="2076" w:right="5220"/>
        <w:rPr>
          <w:sz w:val="20"/>
        </w:rPr>
      </w:pPr>
      <w:r>
        <w:rPr>
          <w:sz w:val="20"/>
        </w:rPr>
        <w:t>1</w:t>
      </w:r>
      <w:r w:rsidR="00F658D6">
        <w:rPr>
          <w:sz w:val="20"/>
        </w:rPr>
        <w:t>-a) pre oblasť práce:</w:t>
      </w:r>
    </w:p>
    <w:p w:rsidR="0057321C" w:rsidRDefault="00F658D6" w:rsidP="00CF17C6">
      <w:pPr>
        <w:pStyle w:val="ListParagraph"/>
        <w:numPr>
          <w:ilvl w:val="3"/>
          <w:numId w:val="3"/>
        </w:numPr>
        <w:tabs>
          <w:tab w:val="left" w:pos="1832"/>
        </w:tabs>
        <w:spacing w:before="6"/>
        <w:ind w:right="115"/>
        <w:jc w:val="both"/>
        <w:rPr>
          <w:sz w:val="20"/>
        </w:rPr>
      </w:pPr>
      <w:r>
        <w:rPr>
          <w:sz w:val="20"/>
        </w:rPr>
        <w:t>Normatívne záležitosti (1) proces prijímania normatívnych aktov z pôsobnosti orgánov, služieb a organizácií a účasť verejnosti; 2) metodické pravidlá prípravy normatívnych aktov z pôsobnosti orgánov, služ</w:t>
      </w:r>
      <w:r>
        <w:rPr>
          <w:sz w:val="20"/>
        </w:rPr>
        <w:t>ieb a organizácií; 3) uplatňovanie normotechnických a právno-technických pravidiel pre tvorbu právnych aktov; 4) príprava a vypracovanie odborných posudkov a vysvetlení k rôznym právnym úkonom z náplne práce orgánov, služieb a organizácií), bude overená pí</w:t>
      </w:r>
      <w:r>
        <w:rPr>
          <w:sz w:val="20"/>
        </w:rPr>
        <w:t>somnou simuláciou.</w:t>
      </w:r>
    </w:p>
    <w:p w:rsidR="0057321C" w:rsidRDefault="00F658D6" w:rsidP="00CF17C6">
      <w:pPr>
        <w:pStyle w:val="ListParagraph"/>
        <w:numPr>
          <w:ilvl w:val="3"/>
          <w:numId w:val="3"/>
        </w:numPr>
        <w:tabs>
          <w:tab w:val="left" w:pos="1834"/>
        </w:tabs>
        <w:ind w:right="118"/>
        <w:jc w:val="both"/>
        <w:rPr>
          <w:sz w:val="20"/>
        </w:rPr>
      </w:pPr>
      <w:r>
        <w:rPr>
          <w:sz w:val="20"/>
        </w:rPr>
        <w:t xml:space="preserve">Administratívne a právne úkony: 1) všeobecný správny postup; 2) pravidlá pre výkon rozhodnutí prijatých v správnych konaniach; 3) osobitné administratívne postupy; 4) administratívne spory, výkon súdnych rozhodnutí; 5) prax/postoj súdov </w:t>
      </w:r>
      <w:r>
        <w:rPr>
          <w:sz w:val="20"/>
        </w:rPr>
        <w:t>v správnych sporoch bude preverený písomnou simuláciou.</w:t>
      </w:r>
    </w:p>
    <w:p w:rsidR="0057321C" w:rsidRDefault="0057321C">
      <w:pPr>
        <w:pStyle w:val="BodyText"/>
        <w:spacing w:before="3"/>
        <w:rPr>
          <w:sz w:val="28"/>
        </w:rPr>
      </w:pPr>
    </w:p>
    <w:p w:rsidR="0057321C" w:rsidRDefault="00F658D6">
      <w:pPr>
        <w:pStyle w:val="BodyText"/>
        <w:spacing w:before="1"/>
        <w:ind w:left="1716"/>
        <w:jc w:val="both"/>
      </w:pPr>
      <w:r>
        <w:t>2-b) pre osobitné pracovné miesto:</w:t>
      </w:r>
    </w:p>
    <w:p w:rsidR="0057321C" w:rsidRDefault="00CF17C6" w:rsidP="00CF17C6">
      <w:pPr>
        <w:pStyle w:val="ListParagraph"/>
        <w:numPr>
          <w:ilvl w:val="3"/>
          <w:numId w:val="3"/>
        </w:numPr>
        <w:tabs>
          <w:tab w:val="left" w:pos="1842"/>
        </w:tabs>
        <w:ind w:right="113"/>
        <w:jc w:val="both"/>
        <w:rPr>
          <w:sz w:val="20"/>
        </w:rPr>
      </w:pPr>
      <w:r>
        <w:rPr>
          <w:sz w:val="20"/>
        </w:rPr>
        <w:t>p</w:t>
      </w:r>
      <w:r w:rsidR="00F658D6">
        <w:rPr>
          <w:sz w:val="20"/>
        </w:rPr>
        <w:t>lánovacie dokumenty, predpisy a akty z príslušnosti a organizácie orgánov: Štatút Autonómnej pokrajiny Vojvodiny, Pokrajinské parlamentné uznesenie o pokrajinske</w:t>
      </w:r>
      <w:r w:rsidR="00F658D6">
        <w:rPr>
          <w:sz w:val="20"/>
        </w:rPr>
        <w:t>j správe, Zákon o určení príslušností Autonómnej pokrajiny Vojvodiny a</w:t>
      </w:r>
    </w:p>
    <w:p w:rsidR="0057321C" w:rsidRPr="00CF17C6" w:rsidRDefault="00F658D6" w:rsidP="00CF17C6">
      <w:pPr>
        <w:pStyle w:val="ListParagraph"/>
        <w:numPr>
          <w:ilvl w:val="3"/>
          <w:numId w:val="3"/>
        </w:numPr>
        <w:tabs>
          <w:tab w:val="left" w:pos="1914"/>
        </w:tabs>
        <w:ind w:right="113"/>
        <w:jc w:val="both"/>
        <w:rPr>
          <w:sz w:val="20"/>
        </w:rPr>
      </w:pPr>
      <w:r w:rsidRPr="00CF17C6">
        <w:rPr>
          <w:sz w:val="20"/>
        </w:rPr>
        <w:t>relevantné predpisy z pôsobnosti pracoviska: Zákon o zamestnancoch v autonómnych pokrajinách a jednotkách lokálnej samosprávy, Uznesenie o právnom normovaní, Pokrajinské parlamentné uzn</w:t>
      </w:r>
      <w:r w:rsidRPr="00CF17C6">
        <w:rPr>
          <w:sz w:val="20"/>
        </w:rPr>
        <w:t>esenie o Pokrajinskej vláde, Pokrajinské parlamentné uznesenie o Zhromaždení APV, Rokovacie poriadky Pokrajinskej vlády a Zhromaždenia APV, Zákon o všeobecnom správnom konaní – overí sa jednou písanou simuláciou.</w:t>
      </w:r>
    </w:p>
    <w:p w:rsidR="0057321C" w:rsidRPr="00CF17C6" w:rsidRDefault="00F658D6" w:rsidP="005801D4">
      <w:pPr>
        <w:pStyle w:val="ListParagraph"/>
        <w:numPr>
          <w:ilvl w:val="1"/>
          <w:numId w:val="3"/>
        </w:numPr>
        <w:tabs>
          <w:tab w:val="left" w:pos="1716"/>
          <w:tab w:val="left" w:pos="1717"/>
        </w:tabs>
        <w:spacing w:line="243" w:lineRule="exact"/>
        <w:rPr>
          <w:sz w:val="20"/>
        </w:rPr>
      </w:pPr>
      <w:r w:rsidRPr="00CF17C6">
        <w:rPr>
          <w:bCs/>
          <w:sz w:val="20"/>
        </w:rPr>
        <w:t>Z</w:t>
      </w:r>
      <w:r w:rsidRPr="00CF17C6">
        <w:rPr>
          <w:bCs/>
          <w:sz w:val="20"/>
        </w:rPr>
        <w:t>áverečný pohovor s kandidátom</w:t>
      </w:r>
    </w:p>
    <w:p w:rsidR="0057321C" w:rsidRDefault="0057321C">
      <w:pPr>
        <w:pStyle w:val="BodyText"/>
      </w:pPr>
      <w:bookmarkStart w:id="0" w:name="_GoBack"/>
      <w:bookmarkEnd w:id="0"/>
    </w:p>
    <w:p w:rsidR="0057321C" w:rsidRDefault="0057321C">
      <w:pPr>
        <w:pStyle w:val="BodyText"/>
        <w:spacing w:before="7"/>
        <w:rPr>
          <w:sz w:val="19"/>
        </w:rPr>
      </w:pPr>
    </w:p>
    <w:p w:rsidR="0057321C" w:rsidRDefault="00F658D6">
      <w:pPr>
        <w:pStyle w:val="BodyText"/>
        <w:spacing w:line="276" w:lineRule="auto"/>
        <w:ind w:left="996" w:right="335"/>
      </w:pPr>
      <w:r>
        <w:t>Súbehová k</w:t>
      </w:r>
      <w:r>
        <w:t>omisia v pohovore s kandidátom posúdi motiváciu kandidáta pre prácu na pracovisku, možné prínosy v práci a akceptovanie hodnôt orgánov.</w:t>
      </w:r>
    </w:p>
    <w:p w:rsidR="0057321C" w:rsidRDefault="0057321C">
      <w:pPr>
        <w:pStyle w:val="BodyText"/>
        <w:rPr>
          <w:sz w:val="23"/>
        </w:rPr>
      </w:pPr>
    </w:p>
    <w:p w:rsidR="0057321C" w:rsidRDefault="00F658D6" w:rsidP="005801D4">
      <w:pPr>
        <w:pStyle w:val="Heading1"/>
        <w:numPr>
          <w:ilvl w:val="0"/>
          <w:numId w:val="3"/>
        </w:numPr>
        <w:tabs>
          <w:tab w:val="left" w:pos="1319"/>
        </w:tabs>
        <w:spacing w:before="1"/>
        <w:ind w:left="1318" w:hanging="322"/>
        <w:jc w:val="both"/>
      </w:pPr>
      <w:r>
        <w:t>Lehota podávania prihlášok na interný súbeh:</w:t>
      </w:r>
    </w:p>
    <w:p w:rsidR="0057321C" w:rsidRDefault="0057321C">
      <w:pPr>
        <w:pStyle w:val="BodyText"/>
        <w:spacing w:before="3"/>
        <w:rPr>
          <w:b/>
          <w:sz w:val="19"/>
        </w:rPr>
      </w:pPr>
    </w:p>
    <w:p w:rsidR="0057321C" w:rsidRDefault="00F658D6">
      <w:pPr>
        <w:pStyle w:val="BodyText"/>
        <w:spacing w:before="1"/>
        <w:ind w:left="996"/>
        <w:jc w:val="both"/>
      </w:pPr>
      <w:r>
        <w:t>Dátum zverejnenia: 9. 9. 2024</w:t>
      </w:r>
    </w:p>
    <w:p w:rsidR="0057321C" w:rsidRDefault="0057321C">
      <w:pPr>
        <w:pStyle w:val="BodyText"/>
        <w:spacing w:before="3"/>
        <w:rPr>
          <w:sz w:val="19"/>
        </w:rPr>
      </w:pPr>
    </w:p>
    <w:p w:rsidR="0057321C" w:rsidRDefault="00F658D6">
      <w:pPr>
        <w:pStyle w:val="BodyText"/>
        <w:ind w:left="1042"/>
        <w:jc w:val="both"/>
      </w:pPr>
      <w:r>
        <w:t>Lehota na podávanie prihlášok je osem dní a začína sa 10. 9. 2024 a končí 17. 9. 2024.</w:t>
      </w:r>
    </w:p>
    <w:p w:rsidR="0057321C" w:rsidRDefault="0057321C">
      <w:pPr>
        <w:jc w:val="both"/>
        <w:sectPr w:rsidR="0057321C">
          <w:pgSz w:w="11910" w:h="16840"/>
          <w:pgMar w:top="520" w:right="1300" w:bottom="280" w:left="420" w:header="720" w:footer="720" w:gutter="0"/>
          <w:cols w:space="720"/>
        </w:sectPr>
      </w:pPr>
    </w:p>
    <w:p w:rsidR="0057321C" w:rsidRDefault="00F658D6" w:rsidP="005801D4">
      <w:pPr>
        <w:pStyle w:val="Heading1"/>
        <w:numPr>
          <w:ilvl w:val="0"/>
          <w:numId w:val="3"/>
        </w:numPr>
        <w:tabs>
          <w:tab w:val="left" w:pos="1206"/>
        </w:tabs>
        <w:spacing w:before="29"/>
        <w:ind w:left="1205" w:hanging="209"/>
      </w:pPr>
      <w:r>
        <w:lastRenderedPageBreak/>
        <w:t>Prihláška na súbeh</w:t>
      </w:r>
    </w:p>
    <w:p w:rsidR="0057321C" w:rsidRDefault="0057321C">
      <w:pPr>
        <w:pStyle w:val="BodyText"/>
        <w:spacing w:before="6"/>
        <w:rPr>
          <w:b/>
          <w:sz w:val="19"/>
        </w:rPr>
      </w:pPr>
    </w:p>
    <w:p w:rsidR="0057321C" w:rsidRDefault="00F658D6">
      <w:pPr>
        <w:pStyle w:val="BodyText"/>
        <w:spacing w:before="1" w:line="276" w:lineRule="auto"/>
        <w:ind w:left="996" w:right="114"/>
        <w:jc w:val="both"/>
      </w:pPr>
      <w:r>
        <w:t>Prihláška na súbeh sa podáva na prihlasovacom tlačive, ktoré je k dispozícii na internetovej prezentácii a oznamovacej tabuli Pokrajins</w:t>
      </w:r>
      <w:r>
        <w:t>kého sekretariátu vzdelávania, predpisov, správy a národnostných menšín – národnostných spoločenstiev (</w:t>
      </w:r>
      <w:hyperlink r:id="rId6">
        <w:r>
          <w:rPr>
            <w:color w:val="0000FF"/>
            <w:u w:val="single" w:color="0000FF"/>
          </w:rPr>
          <w:t>www.puma.vojvodina.gov.rs</w:t>
        </w:r>
        <w:r>
          <w:t>)</w:t>
        </w:r>
      </w:hyperlink>
      <w:r>
        <w:t xml:space="preserve"> a na internetovej stránke Služby riadenia ľudských zdrojov (</w:t>
      </w:r>
      <w:hyperlink r:id="rId7">
        <w:r>
          <w:rPr>
            <w:color w:val="0000FF"/>
            <w:u w:val="single" w:color="0000FF"/>
          </w:rPr>
          <w:t>www.ljudskiresursi.vojvodina.gov.rs</w:t>
        </w:r>
      </w:hyperlink>
      <w:r>
        <w:t>).</w:t>
      </w:r>
    </w:p>
    <w:p w:rsidR="0057321C" w:rsidRDefault="0057321C">
      <w:pPr>
        <w:pStyle w:val="BodyText"/>
        <w:spacing w:before="6"/>
        <w:rPr>
          <w:sz w:val="11"/>
        </w:rPr>
      </w:pPr>
    </w:p>
    <w:p w:rsidR="0057321C" w:rsidRDefault="00F658D6">
      <w:pPr>
        <w:pStyle w:val="BodyText"/>
        <w:spacing w:before="59" w:line="276" w:lineRule="auto"/>
        <w:ind w:left="996" w:right="115"/>
        <w:jc w:val="both"/>
      </w:pPr>
      <w:r>
        <w:t>Pri odovzdaní prihlášky na interný súbeh prihláška podávateľa prihlášky dostáva kód, pod ktorým sa kandidát zúčastňuje v ďalšom výberovom konaní. Podávateľa</w:t>
      </w:r>
      <w:r>
        <w:t xml:space="preserve"> prihlášky oboznamujú o pridelenom kóde do troch dní od doručenia prihlášky, a to spôsobom uvedeným v prihláške o doručení oznámenia.</w:t>
      </w:r>
    </w:p>
    <w:p w:rsidR="0057321C" w:rsidRDefault="0057321C">
      <w:pPr>
        <w:pStyle w:val="BodyText"/>
      </w:pPr>
    </w:p>
    <w:p w:rsidR="0057321C" w:rsidRDefault="0057321C">
      <w:pPr>
        <w:pStyle w:val="BodyText"/>
        <w:spacing w:before="4"/>
        <w:rPr>
          <w:sz w:val="19"/>
        </w:rPr>
      </w:pPr>
    </w:p>
    <w:p w:rsidR="0057321C" w:rsidRDefault="00F658D6" w:rsidP="005801D4">
      <w:pPr>
        <w:pStyle w:val="Heading1"/>
        <w:numPr>
          <w:ilvl w:val="0"/>
          <w:numId w:val="3"/>
        </w:numPr>
        <w:tabs>
          <w:tab w:val="left" w:pos="1153"/>
        </w:tabs>
        <w:ind w:left="1152" w:hanging="156"/>
      </w:pPr>
      <w:r>
        <w:t>Osoba zodpovedná za poskytovanie informácií:</w:t>
      </w:r>
    </w:p>
    <w:p w:rsidR="0057321C" w:rsidRDefault="0057321C">
      <w:pPr>
        <w:pStyle w:val="BodyText"/>
        <w:spacing w:before="4"/>
        <w:rPr>
          <w:b/>
          <w:sz w:val="19"/>
        </w:rPr>
      </w:pPr>
    </w:p>
    <w:p w:rsidR="0057321C" w:rsidRDefault="00F658D6">
      <w:pPr>
        <w:pStyle w:val="BodyText"/>
        <w:ind w:left="996"/>
      </w:pPr>
      <w:r>
        <w:t>Dijana Katona, telefón: 021/487-4427.</w:t>
      </w:r>
    </w:p>
    <w:p w:rsidR="0057321C" w:rsidRDefault="0057321C">
      <w:pPr>
        <w:pStyle w:val="BodyText"/>
      </w:pPr>
    </w:p>
    <w:p w:rsidR="0057321C" w:rsidRDefault="0057321C">
      <w:pPr>
        <w:pStyle w:val="BodyText"/>
        <w:spacing w:before="6"/>
        <w:rPr>
          <w:sz w:val="22"/>
        </w:rPr>
      </w:pPr>
    </w:p>
    <w:p w:rsidR="0057321C" w:rsidRDefault="00F658D6" w:rsidP="005801D4">
      <w:pPr>
        <w:pStyle w:val="Heading1"/>
        <w:numPr>
          <w:ilvl w:val="0"/>
          <w:numId w:val="3"/>
        </w:numPr>
        <w:tabs>
          <w:tab w:val="left" w:pos="1206"/>
        </w:tabs>
        <w:ind w:left="1205" w:hanging="209"/>
      </w:pPr>
      <w:r>
        <w:t>Adresa, na ktorú sa podávajú prihlášky:</w:t>
      </w:r>
    </w:p>
    <w:p w:rsidR="0057321C" w:rsidRDefault="0057321C">
      <w:pPr>
        <w:pStyle w:val="BodyText"/>
        <w:spacing w:before="4"/>
        <w:rPr>
          <w:b/>
          <w:sz w:val="19"/>
        </w:rPr>
      </w:pPr>
    </w:p>
    <w:p w:rsidR="0057321C" w:rsidRDefault="00F658D6">
      <w:pPr>
        <w:pStyle w:val="ListParagraph"/>
        <w:numPr>
          <w:ilvl w:val="0"/>
          <w:numId w:val="1"/>
        </w:numPr>
        <w:tabs>
          <w:tab w:val="left" w:pos="1704"/>
          <w:tab w:val="left" w:pos="1705"/>
        </w:tabs>
        <w:ind w:right="114" w:hanging="360"/>
        <w:rPr>
          <w:sz w:val="20"/>
        </w:rPr>
      </w:pPr>
      <w:r>
        <w:rPr>
          <w:sz w:val="20"/>
        </w:rPr>
        <w:t>poštou na adresu Pokrajinského sekretariátu vzdelávania, predpisov, správy a národnostných menšín – národnostných spoločenstiev, Bulvár Mihajla Pupina 16, Nový Sad</w:t>
      </w:r>
    </w:p>
    <w:p w:rsidR="0057321C" w:rsidRDefault="00F658D6">
      <w:pPr>
        <w:pStyle w:val="ListParagraph"/>
        <w:numPr>
          <w:ilvl w:val="0"/>
          <w:numId w:val="1"/>
        </w:numPr>
        <w:tabs>
          <w:tab w:val="left" w:pos="1704"/>
          <w:tab w:val="left" w:pos="1705"/>
        </w:tabs>
        <w:ind w:right="117" w:hanging="360"/>
        <w:rPr>
          <w:sz w:val="20"/>
        </w:rPr>
      </w:pPr>
      <w:r>
        <w:rPr>
          <w:sz w:val="20"/>
        </w:rPr>
        <w:t xml:space="preserve">na podateľni pokrajinských orgánov správy, Bulevar </w:t>
      </w:r>
      <w:r>
        <w:rPr>
          <w:sz w:val="20"/>
        </w:rPr>
        <w:t>Mihajla Pupina 16, Nový Sad, v pracovné dni od 9 do 14 hodín.</w:t>
      </w:r>
    </w:p>
    <w:p w:rsidR="0057321C" w:rsidRDefault="00F658D6">
      <w:pPr>
        <w:pStyle w:val="Heading1"/>
        <w:spacing w:before="1" w:line="276" w:lineRule="auto"/>
        <w:ind w:left="1356" w:right="335"/>
      </w:pPr>
      <w:r>
        <w:t>s označením "Na interný súbeh na obsadenie miesta radcu pre správne a všeobecné právne úkony – 1 vykonávateľ“</w:t>
      </w:r>
    </w:p>
    <w:p w:rsidR="0057321C" w:rsidRDefault="0057321C">
      <w:pPr>
        <w:pStyle w:val="BodyText"/>
        <w:spacing w:before="4"/>
        <w:rPr>
          <w:b/>
          <w:sz w:val="16"/>
        </w:rPr>
      </w:pPr>
    </w:p>
    <w:p w:rsidR="0057321C" w:rsidRDefault="00F658D6" w:rsidP="005801D4">
      <w:pPr>
        <w:pStyle w:val="ListParagraph"/>
        <w:numPr>
          <w:ilvl w:val="0"/>
          <w:numId w:val="3"/>
        </w:numPr>
        <w:tabs>
          <w:tab w:val="left" w:pos="1304"/>
        </w:tabs>
        <w:ind w:left="1303" w:hanging="307"/>
        <w:rPr>
          <w:sz w:val="20"/>
        </w:rPr>
      </w:pPr>
      <w:r>
        <w:rPr>
          <w:b/>
          <w:sz w:val="20"/>
        </w:rPr>
        <w:t>Doklady priložené k prihláške na interný súbeh</w:t>
      </w:r>
      <w:r>
        <w:rPr>
          <w:sz w:val="20"/>
        </w:rPr>
        <w:t>:</w:t>
      </w:r>
    </w:p>
    <w:p w:rsidR="0057321C" w:rsidRDefault="0057321C">
      <w:pPr>
        <w:pStyle w:val="BodyText"/>
        <w:spacing w:before="5"/>
        <w:rPr>
          <w:sz w:val="19"/>
        </w:rPr>
      </w:pPr>
    </w:p>
    <w:p w:rsidR="0057321C" w:rsidRDefault="00F658D6" w:rsidP="005801D4">
      <w:pPr>
        <w:pStyle w:val="ListParagraph"/>
        <w:numPr>
          <w:ilvl w:val="0"/>
          <w:numId w:val="3"/>
        </w:numPr>
        <w:tabs>
          <w:tab w:val="left" w:pos="1354"/>
        </w:tabs>
        <w:spacing w:line="276" w:lineRule="auto"/>
        <w:ind w:left="996" w:right="118" w:firstLine="0"/>
        <w:jc w:val="both"/>
        <w:rPr>
          <w:sz w:val="20"/>
        </w:rPr>
      </w:pPr>
      <w:r>
        <w:rPr>
          <w:b/>
          <w:bCs/>
          <w:sz w:val="20"/>
        </w:rPr>
        <w:t>Dôkazy predložené kandidátmi</w:t>
      </w:r>
      <w:r>
        <w:rPr>
          <w:sz w:val="20"/>
        </w:rPr>
        <w:t>, kto</w:t>
      </w:r>
      <w:r>
        <w:rPr>
          <w:sz w:val="20"/>
        </w:rPr>
        <w:t>rí úspešne prešli fázami výberového konania pred záverečným pohovorom so súbehovou komisiou, sú: originál alebo overená fotokópia diplomu osvedčujúceho odborné vzdelanie; originál alebo overená fotokópia dokladu o vykonaní štátnej odbornej skúšky pre prácu</w:t>
      </w:r>
      <w:r>
        <w:rPr>
          <w:sz w:val="20"/>
        </w:rPr>
        <w:t xml:space="preserve"> v štátnych orgánoch (uchádzači so zloženou súdnou skúškou predkladajú namiesto dokladu o vykonaní štátnej odbornej skúšky doklad o vykonaní štátnej súdnej skúšky); originál alebo overená fotokópia dokladu o troch rokoch praxe v danom povolaní (osvedčenie,</w:t>
      </w:r>
      <w:r>
        <w:rPr>
          <w:sz w:val="20"/>
        </w:rPr>
        <w:t xml:space="preserve"> rozhodnutie a iné doklady osvedčujúce, v ktorých zamestnaniach, počas akej doby a s akou odbornou kvalifikáciou bola prax získaná), originál alebo overená fotokópia rozhodnutia o pridelení alebo preložení v orgáne, v ktorom pracuje, alebo rozhodnutia, že </w:t>
      </w:r>
      <w:r>
        <w:rPr>
          <w:sz w:val="20"/>
        </w:rPr>
        <w:t>zamestnanec je nezaradený.</w:t>
      </w:r>
    </w:p>
    <w:p w:rsidR="0057321C" w:rsidRDefault="0057321C">
      <w:pPr>
        <w:pStyle w:val="BodyText"/>
        <w:spacing w:before="4"/>
        <w:rPr>
          <w:sz w:val="16"/>
        </w:rPr>
      </w:pPr>
    </w:p>
    <w:p w:rsidR="0057321C" w:rsidRDefault="00F658D6">
      <w:pPr>
        <w:pStyle w:val="BodyText"/>
        <w:spacing w:line="276" w:lineRule="auto"/>
        <w:ind w:left="996" w:right="117"/>
        <w:jc w:val="both"/>
      </w:pPr>
      <w:r>
        <w:t>V súlade so Zákonom o zamestnancoch v autonómnych pokrajinách a jednotkách lokálnej samosprávy je skúšobná doba povinná pre všetky osoby, ktoré nezaložili pracovný pomer v orgáne autonómnej pokrajiny, jednotke lokálnej samosprávy alebo v štátnom orgáne. Sk</w:t>
      </w:r>
      <w:r>
        <w:t>úšobný pracovný pomer na dobu neurčitú trvá šesť mesiacov. Úradník v skúšobnej dobe, ktorý uzavrel pracovný pomer na dobu neurčitú, vykonáva štátnu odbornú skúšku do konca skúšobnej doby, inak sa jeho pracovný pomer skončí. Úradník, ktorý je v pracovnom po</w:t>
      </w:r>
      <w:r>
        <w:t>mere na dobu neurčitú, je povinný zložiť štátnu odbornú skúšku. Úradník, ktorého skúšobná doba nie je v zmysle zákona povinná, ako aj úradník, ktorý má uzatvorený pracovný pomer na dobu neurčitú a nevykonal štátnu odbornú skúšku, vykoná štátnu odbornú skúš</w:t>
      </w:r>
      <w:r>
        <w:t>ku do šiestich mesiacov odo dňa založenia pracovného pomeru.</w:t>
      </w:r>
    </w:p>
    <w:p w:rsidR="0057321C" w:rsidRDefault="0057321C">
      <w:pPr>
        <w:pStyle w:val="BodyText"/>
        <w:spacing w:before="3"/>
        <w:rPr>
          <w:sz w:val="18"/>
        </w:rPr>
      </w:pPr>
    </w:p>
    <w:p w:rsidR="0057321C" w:rsidRDefault="00F658D6">
      <w:pPr>
        <w:pStyle w:val="BodyText"/>
        <w:spacing w:before="1" w:line="276" w:lineRule="auto"/>
        <w:ind w:left="996" w:right="120"/>
        <w:jc w:val="both"/>
      </w:pPr>
      <w:r>
        <w:t>Všetky dôkazy musia byť priložené v origináli alebo vo fotokópii overenej notárom (okrem miest a obcí, kde neboli menovaní notári, môžu byť priložené dôkazy overené na základných súdoch, súdny</w:t>
      </w:r>
      <w:r>
        <w:t>ch jednotkách, prijímacíc</w:t>
      </w:r>
      <w:r w:rsidR="00CF17C6">
        <w:t>h kanceláriách základných súdov</w:t>
      </w:r>
      <w:r>
        <w:t xml:space="preserve"> alebo obecných správach ako zverená práca).</w:t>
      </w:r>
    </w:p>
    <w:p w:rsidR="0057321C" w:rsidRDefault="0057321C">
      <w:pPr>
        <w:spacing w:line="276" w:lineRule="auto"/>
        <w:jc w:val="both"/>
        <w:sectPr w:rsidR="0057321C">
          <w:pgSz w:w="11910" w:h="16840"/>
          <w:pgMar w:top="520" w:right="1300" w:bottom="280" w:left="420" w:header="720" w:footer="720" w:gutter="0"/>
          <w:cols w:space="720"/>
        </w:sectPr>
      </w:pPr>
    </w:p>
    <w:p w:rsidR="0057321C" w:rsidRDefault="00F658D6">
      <w:pPr>
        <w:pStyle w:val="BodyText"/>
        <w:spacing w:before="29" w:line="276" w:lineRule="auto"/>
        <w:ind w:left="996" w:right="116"/>
        <w:jc w:val="both"/>
      </w:pPr>
      <w:r>
        <w:lastRenderedPageBreak/>
        <w:t>Ako dôkaz možno priložiť fotokópie dokumentov overených pred 1. marcom 2017 na základných súdoch, t. j. obecnej správe. Zákonom o všeobecnom</w:t>
      </w:r>
      <w:r>
        <w:t xml:space="preserve"> správnom konaní (vestník Službeni glasnik RS číslo č. 18/16) je okrem iného stanovené, že orgány sú povinné z úradnej povinnosti, ak je to potrebné na rozhodovanie, v súlade so zákonnými lehotami bezplatne vymieňať, nahliadať, spracúvať a získavať osobné </w:t>
      </w:r>
      <w:r>
        <w:t>údaje o skutočnostiach obsiahnutých v úradných záznamoch, pokiaľ strana výslovne neuvedie, že informácie získa sama.</w:t>
      </w:r>
    </w:p>
    <w:p w:rsidR="0057321C" w:rsidRDefault="0057321C">
      <w:pPr>
        <w:pStyle w:val="BodyText"/>
        <w:spacing w:before="5"/>
        <w:rPr>
          <w:sz w:val="16"/>
        </w:rPr>
      </w:pPr>
    </w:p>
    <w:p w:rsidR="0057321C" w:rsidRDefault="00F658D6" w:rsidP="00F658D6">
      <w:pPr>
        <w:pStyle w:val="BodyText"/>
        <w:spacing w:line="276" w:lineRule="auto"/>
        <w:ind w:left="996"/>
        <w:jc w:val="both"/>
      </w:pPr>
      <w:r>
        <w:t>Doklad o skutočnostiach, o ktorých sa vedú úradné záznamy, je osvedčenie o vykonaní štátnej odbornej skúšky pre prácu v štátnych orgánoch,</w:t>
      </w:r>
      <w:r>
        <w:t xml:space="preserve"> to znamená osvedčenie o vykonaní súdnej skúšky.</w:t>
      </w:r>
    </w:p>
    <w:p w:rsidR="0057321C" w:rsidRDefault="0057321C" w:rsidP="00F658D6">
      <w:pPr>
        <w:pStyle w:val="BodyText"/>
        <w:spacing w:before="6"/>
        <w:jc w:val="both"/>
        <w:rPr>
          <w:sz w:val="16"/>
        </w:rPr>
      </w:pPr>
    </w:p>
    <w:p w:rsidR="0057321C" w:rsidRDefault="00F658D6" w:rsidP="00F658D6">
      <w:pPr>
        <w:pStyle w:val="BodyText"/>
        <w:spacing w:line="276" w:lineRule="auto"/>
        <w:ind w:left="996"/>
        <w:jc w:val="both"/>
      </w:pPr>
      <w:r>
        <w:t>Je potrebné, aby účastník súbehu v časti Vyhlásenie*, v prihláške zakrúžkoval spôsob, akým chce získať svoje údaje z úradných záznamov.</w:t>
      </w:r>
    </w:p>
    <w:p w:rsidR="0057321C" w:rsidRDefault="0057321C" w:rsidP="00F658D6">
      <w:pPr>
        <w:pStyle w:val="BodyText"/>
        <w:spacing w:before="4"/>
        <w:jc w:val="both"/>
        <w:rPr>
          <w:sz w:val="16"/>
        </w:rPr>
      </w:pPr>
    </w:p>
    <w:p w:rsidR="0057321C" w:rsidRDefault="00F658D6" w:rsidP="00F658D6">
      <w:pPr>
        <w:pStyle w:val="BodyText"/>
        <w:ind w:left="996" w:right="173"/>
        <w:jc w:val="both"/>
      </w:pPr>
      <w:r>
        <w:t>Uchádzači, ktorí úspešne pr</w:t>
      </w:r>
      <w:r>
        <w:t>ešli predchádzajúcim štádiom výberového konania, pred pohovorom so súbehovou komisiou, sú vyzvaní, aby do piatich pracovných dní odo dňa doručenia pozvania predložili vyššie uvedené doklady z bodu XIII.</w:t>
      </w:r>
    </w:p>
    <w:p w:rsidR="0057321C" w:rsidRDefault="0057321C" w:rsidP="00F658D6">
      <w:pPr>
        <w:pStyle w:val="BodyText"/>
        <w:spacing w:line="243" w:lineRule="exact"/>
        <w:ind w:left="996"/>
        <w:jc w:val="both"/>
      </w:pPr>
    </w:p>
    <w:p w:rsidR="0057321C" w:rsidRDefault="00F658D6" w:rsidP="00F658D6">
      <w:pPr>
        <w:pStyle w:val="BodyText"/>
        <w:spacing w:before="1"/>
        <w:ind w:left="996" w:right="541"/>
        <w:jc w:val="both"/>
      </w:pPr>
      <w:r>
        <w:t>Uchádzačom, ktorí nepredložia vyššie uvedené dôkazy, teda ktorí na základe predložených alebo získaných dôkazov nespĺňajú podmienky na prijatie do zamestnania, sa písomne ​​oznámi, že sú</w:t>
      </w:r>
    </w:p>
    <w:p w:rsidR="0057321C" w:rsidRDefault="00F658D6" w:rsidP="00F658D6">
      <w:pPr>
        <w:pStyle w:val="BodyText"/>
        <w:spacing w:line="243" w:lineRule="exact"/>
        <w:ind w:left="996"/>
        <w:jc w:val="both"/>
      </w:pPr>
      <w:r>
        <w:t>vylúčení z ďalšieho volebného konania.</w:t>
      </w:r>
    </w:p>
    <w:p w:rsidR="0057321C" w:rsidRDefault="0057321C">
      <w:pPr>
        <w:pStyle w:val="BodyText"/>
        <w:spacing w:before="1"/>
        <w:rPr>
          <w:sz w:val="23"/>
        </w:rPr>
      </w:pPr>
    </w:p>
    <w:p w:rsidR="0057321C" w:rsidRDefault="00F658D6" w:rsidP="00F658D6">
      <w:pPr>
        <w:pStyle w:val="BodyText"/>
        <w:spacing w:line="276" w:lineRule="auto"/>
        <w:ind w:left="996" w:right="186"/>
        <w:jc w:val="both"/>
      </w:pPr>
      <w:r>
        <w:rPr>
          <w:b/>
        </w:rPr>
        <w:t>XIII. Miesto, deň a čas previ</w:t>
      </w:r>
      <w:r>
        <w:rPr>
          <w:b/>
        </w:rPr>
        <w:t xml:space="preserve">erky kvalifikácie, vedomostí a zručností kandidátov vo výberovom konaní:  </w:t>
      </w:r>
      <w:r>
        <w:t>Uchádzači, ktorých prihlášky budú včasné, prijateľné, zrozumiteľné, úplné a doplnené všetkými potrebnými dokladmi a ktorí spĺňajú požiadavky na inzerované pracovné miesto, budú testo</w:t>
      </w:r>
      <w:r>
        <w:t xml:space="preserve">vaní z hľadiska odbornej kvalifikácie, vedomostí a zručností, najmä vedomostí a zručností, ktoré sú pre danú pozíciu určené v rámci špeciálnych funkčných kompetencií v miestnostiach Pokrajinského sekretariátu vzdelávania, predpisov, správy a národnostných </w:t>
      </w:r>
      <w:r>
        <w:t>menšín – národnostných spoločenstiev, Nový Sad, Bulvár Mihajla Pupina 16. Výberové konanie sa začne 23. 9. 2024, o čom budú účastníci súbehu informovaní telefonicky na telefónnych číslach, ktoré uviedli v prihláške alebo e-mailom na e-mailové adresy.</w:t>
      </w:r>
    </w:p>
    <w:p w:rsidR="0057321C" w:rsidRDefault="0057321C" w:rsidP="00F658D6">
      <w:pPr>
        <w:pStyle w:val="BodyText"/>
        <w:jc w:val="both"/>
      </w:pPr>
    </w:p>
    <w:p w:rsidR="0057321C" w:rsidRDefault="0057321C">
      <w:pPr>
        <w:pStyle w:val="BodyText"/>
        <w:spacing w:before="7"/>
        <w:rPr>
          <w:sz w:val="19"/>
        </w:rPr>
      </w:pPr>
    </w:p>
    <w:p w:rsidR="0057321C" w:rsidRDefault="00F658D6">
      <w:pPr>
        <w:pStyle w:val="Heading1"/>
      </w:pPr>
      <w:r>
        <w:t>Poznámky:</w:t>
      </w:r>
    </w:p>
    <w:p w:rsidR="0057321C" w:rsidRDefault="00F658D6">
      <w:pPr>
        <w:pStyle w:val="BodyText"/>
        <w:spacing w:before="36" w:line="276" w:lineRule="auto"/>
        <w:ind w:left="996" w:right="118"/>
        <w:jc w:val="both"/>
      </w:pPr>
      <w:r>
        <w:t>Oneskorené, neprípustné, nezrozumiteľné alebo neúplné prihlášky uchádzačov súbehová komisia zamietne rozhodnutím, proti ktorému možno podať odvolanie na odvolaciu komisiu do ôsmich dní odo dňa doručenia rozhodnutia. Interný súbeh riadi súbehová k</w:t>
      </w:r>
      <w:r>
        <w:t>omisia založená rozhodnutím pokrajinského tajomníka.</w:t>
      </w:r>
    </w:p>
    <w:p w:rsidR="0057321C" w:rsidRDefault="0057321C">
      <w:pPr>
        <w:pStyle w:val="BodyText"/>
      </w:pPr>
    </w:p>
    <w:p w:rsidR="0057321C" w:rsidRDefault="0057321C">
      <w:pPr>
        <w:pStyle w:val="BodyText"/>
        <w:spacing w:before="2"/>
        <w:rPr>
          <w:sz w:val="19"/>
        </w:rPr>
      </w:pPr>
    </w:p>
    <w:p w:rsidR="0057321C" w:rsidRDefault="00F658D6">
      <w:pPr>
        <w:pStyle w:val="BodyText"/>
        <w:ind w:left="6752"/>
      </w:pPr>
      <w:r>
        <w:t>POKRAJINSKÝ TAJOMNÍK</w:t>
      </w:r>
    </w:p>
    <w:p w:rsidR="0057321C" w:rsidRDefault="00F658D6">
      <w:pPr>
        <w:pStyle w:val="BodyText"/>
        <w:spacing w:before="56" w:line="295" w:lineRule="auto"/>
        <w:ind w:left="7052" w:right="1979" w:firstLine="81"/>
        <w:jc w:val="right"/>
      </w:pPr>
      <w:r>
        <w:t>Róbert Ótott</w:t>
      </w:r>
    </w:p>
    <w:sectPr w:rsidR="0057321C">
      <w:pgSz w:w="11910" w:h="16840"/>
      <w:pgMar w:top="520" w:right="13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81690"/>
    <w:multiLevelType w:val="hybridMultilevel"/>
    <w:tmpl w:val="9CFE37C2"/>
    <w:lvl w:ilvl="0" w:tplc="3F6C5DDC">
      <w:start w:val="2"/>
      <w:numFmt w:val="upperRoman"/>
      <w:lvlText w:val="%1."/>
      <w:lvlJc w:val="left"/>
      <w:pPr>
        <w:ind w:left="1716" w:hanging="720"/>
      </w:pPr>
      <w:rPr>
        <w:rFonts w:hint="default"/>
        <w:b/>
      </w:rPr>
    </w:lvl>
    <w:lvl w:ilvl="1" w:tplc="4D960888">
      <w:start w:val="1"/>
      <w:numFmt w:val="decimal"/>
      <w:lvlText w:val="%2."/>
      <w:lvlJc w:val="left"/>
      <w:pPr>
        <w:ind w:left="2076" w:hanging="360"/>
      </w:pPr>
      <w:rPr>
        <w:rFonts w:ascii="Calibri" w:eastAsia="Calibri" w:hAnsi="Calibri" w:cs="Times New Roman"/>
      </w:rPr>
    </w:lvl>
    <w:lvl w:ilvl="2" w:tplc="0409001B">
      <w:start w:val="1"/>
      <w:numFmt w:val="lowerRoman"/>
      <w:lvlText w:val="%3."/>
      <w:lvlJc w:val="right"/>
      <w:pPr>
        <w:ind w:left="2796" w:hanging="180"/>
      </w:pPr>
    </w:lvl>
    <w:lvl w:ilvl="3" w:tplc="91E0D736">
      <w:start w:val="1"/>
      <w:numFmt w:val="bullet"/>
      <w:lvlText w:val="-"/>
      <w:lvlJc w:val="left"/>
      <w:pPr>
        <w:ind w:left="3516" w:hanging="360"/>
      </w:pPr>
      <w:rPr>
        <w:rFonts w:ascii="Calibri" w:eastAsia="Calibr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73B54A96"/>
    <w:multiLevelType w:val="hybridMultilevel"/>
    <w:tmpl w:val="495CA808"/>
    <w:lvl w:ilvl="0" w:tplc="DF544AEE">
      <w:start w:val="1"/>
      <w:numFmt w:val="upperRoman"/>
      <w:lvlText w:val="%1"/>
      <w:lvlJc w:val="left"/>
      <w:pPr>
        <w:ind w:left="1094" w:hanging="99"/>
      </w:pPr>
      <w:rPr>
        <w:rFonts w:ascii="Calibri" w:eastAsia="Calibri" w:hAnsi="Calibri" w:cs="Calibri" w:hint="default"/>
        <w:b/>
        <w:bCs/>
        <w:w w:val="99"/>
        <w:sz w:val="20"/>
        <w:szCs w:val="20"/>
        <w:lang w:val="mk" w:eastAsia="mk" w:bidi="mk"/>
      </w:rPr>
    </w:lvl>
    <w:lvl w:ilvl="1" w:tplc="DA42D996">
      <w:start w:val="1"/>
      <w:numFmt w:val="decimal"/>
      <w:lvlText w:val="%2."/>
      <w:lvlJc w:val="left"/>
      <w:pPr>
        <w:ind w:left="1716" w:hanging="360"/>
      </w:pPr>
      <w:rPr>
        <w:rFonts w:ascii="Calibri" w:eastAsia="Calibri" w:hAnsi="Calibri" w:cs="Calibri" w:hint="default"/>
        <w:w w:val="99"/>
        <w:sz w:val="20"/>
        <w:szCs w:val="20"/>
        <w:lang w:val="mk" w:eastAsia="mk" w:bidi="mk"/>
      </w:rPr>
    </w:lvl>
    <w:lvl w:ilvl="2" w:tplc="F790097A">
      <w:numFmt w:val="bullet"/>
      <w:lvlText w:val="-"/>
      <w:lvlJc w:val="left"/>
      <w:pPr>
        <w:ind w:left="1716" w:hanging="116"/>
      </w:pPr>
      <w:rPr>
        <w:rFonts w:ascii="Calibri" w:eastAsia="Calibri" w:hAnsi="Calibri" w:cs="Calibri" w:hint="default"/>
        <w:w w:val="99"/>
        <w:sz w:val="20"/>
        <w:szCs w:val="20"/>
        <w:lang w:val="mk" w:eastAsia="mk" w:bidi="mk"/>
      </w:rPr>
    </w:lvl>
    <w:lvl w:ilvl="3" w:tplc="DC2AF9DE">
      <w:numFmt w:val="bullet"/>
      <w:lvlText w:val="•"/>
      <w:lvlJc w:val="left"/>
      <w:pPr>
        <w:ind w:left="3601" w:hanging="116"/>
      </w:pPr>
      <w:rPr>
        <w:rFonts w:hint="default"/>
        <w:lang w:val="mk" w:eastAsia="mk" w:bidi="mk"/>
      </w:rPr>
    </w:lvl>
    <w:lvl w:ilvl="4" w:tplc="7412451A">
      <w:numFmt w:val="bullet"/>
      <w:lvlText w:val="•"/>
      <w:lvlJc w:val="left"/>
      <w:pPr>
        <w:ind w:left="4542" w:hanging="116"/>
      </w:pPr>
      <w:rPr>
        <w:rFonts w:hint="default"/>
        <w:lang w:val="mk" w:eastAsia="mk" w:bidi="mk"/>
      </w:rPr>
    </w:lvl>
    <w:lvl w:ilvl="5" w:tplc="858E35AA">
      <w:numFmt w:val="bullet"/>
      <w:lvlText w:val="•"/>
      <w:lvlJc w:val="left"/>
      <w:pPr>
        <w:ind w:left="5482" w:hanging="116"/>
      </w:pPr>
      <w:rPr>
        <w:rFonts w:hint="default"/>
        <w:lang w:val="mk" w:eastAsia="mk" w:bidi="mk"/>
      </w:rPr>
    </w:lvl>
    <w:lvl w:ilvl="6" w:tplc="4998AA66">
      <w:numFmt w:val="bullet"/>
      <w:lvlText w:val="•"/>
      <w:lvlJc w:val="left"/>
      <w:pPr>
        <w:ind w:left="6423" w:hanging="116"/>
      </w:pPr>
      <w:rPr>
        <w:rFonts w:hint="default"/>
        <w:lang w:val="mk" w:eastAsia="mk" w:bidi="mk"/>
      </w:rPr>
    </w:lvl>
    <w:lvl w:ilvl="7" w:tplc="7944A81A">
      <w:numFmt w:val="bullet"/>
      <w:lvlText w:val="•"/>
      <w:lvlJc w:val="left"/>
      <w:pPr>
        <w:ind w:left="7364" w:hanging="116"/>
      </w:pPr>
      <w:rPr>
        <w:rFonts w:hint="default"/>
        <w:lang w:val="mk" w:eastAsia="mk" w:bidi="mk"/>
      </w:rPr>
    </w:lvl>
    <w:lvl w:ilvl="8" w:tplc="90B85922">
      <w:numFmt w:val="bullet"/>
      <w:lvlText w:val="•"/>
      <w:lvlJc w:val="left"/>
      <w:pPr>
        <w:ind w:left="8304" w:hanging="116"/>
      </w:pPr>
      <w:rPr>
        <w:rFonts w:hint="default"/>
        <w:lang w:val="mk" w:eastAsia="mk" w:bidi="mk"/>
      </w:rPr>
    </w:lvl>
  </w:abstractNum>
  <w:abstractNum w:abstractNumId="2" w15:restartNumberingAfterBreak="0">
    <w:nsid w:val="7B3D3737"/>
    <w:multiLevelType w:val="hybridMultilevel"/>
    <w:tmpl w:val="DD3A8992"/>
    <w:lvl w:ilvl="0" w:tplc="387A0436">
      <w:numFmt w:val="bullet"/>
      <w:lvlText w:val="-"/>
      <w:lvlJc w:val="left"/>
      <w:pPr>
        <w:ind w:left="1716" w:hanging="348"/>
      </w:pPr>
      <w:rPr>
        <w:rFonts w:ascii="Calibri" w:eastAsia="Calibri" w:hAnsi="Calibri" w:cs="Calibri" w:hint="default"/>
        <w:b/>
        <w:bCs/>
        <w:w w:val="99"/>
        <w:sz w:val="20"/>
        <w:szCs w:val="20"/>
        <w:lang w:val="mk" w:eastAsia="mk" w:bidi="mk"/>
      </w:rPr>
    </w:lvl>
    <w:lvl w:ilvl="1" w:tplc="EB747CC2">
      <w:numFmt w:val="bullet"/>
      <w:lvlText w:val="•"/>
      <w:lvlJc w:val="left"/>
      <w:pPr>
        <w:ind w:left="2566" w:hanging="348"/>
      </w:pPr>
      <w:rPr>
        <w:rFonts w:hint="default"/>
        <w:lang w:val="mk" w:eastAsia="mk" w:bidi="mk"/>
      </w:rPr>
    </w:lvl>
    <w:lvl w:ilvl="2" w:tplc="82046CF8">
      <w:numFmt w:val="bullet"/>
      <w:lvlText w:val="•"/>
      <w:lvlJc w:val="left"/>
      <w:pPr>
        <w:ind w:left="3413" w:hanging="348"/>
      </w:pPr>
      <w:rPr>
        <w:rFonts w:hint="default"/>
        <w:lang w:val="mk" w:eastAsia="mk" w:bidi="mk"/>
      </w:rPr>
    </w:lvl>
    <w:lvl w:ilvl="3" w:tplc="C19AE23E">
      <w:numFmt w:val="bullet"/>
      <w:lvlText w:val="•"/>
      <w:lvlJc w:val="left"/>
      <w:pPr>
        <w:ind w:left="4259" w:hanging="348"/>
      </w:pPr>
      <w:rPr>
        <w:rFonts w:hint="default"/>
        <w:lang w:val="mk" w:eastAsia="mk" w:bidi="mk"/>
      </w:rPr>
    </w:lvl>
    <w:lvl w:ilvl="4" w:tplc="E95297C2">
      <w:numFmt w:val="bullet"/>
      <w:lvlText w:val="•"/>
      <w:lvlJc w:val="left"/>
      <w:pPr>
        <w:ind w:left="5106" w:hanging="348"/>
      </w:pPr>
      <w:rPr>
        <w:rFonts w:hint="default"/>
        <w:lang w:val="mk" w:eastAsia="mk" w:bidi="mk"/>
      </w:rPr>
    </w:lvl>
    <w:lvl w:ilvl="5" w:tplc="764CC010">
      <w:numFmt w:val="bullet"/>
      <w:lvlText w:val="•"/>
      <w:lvlJc w:val="left"/>
      <w:pPr>
        <w:ind w:left="5953" w:hanging="348"/>
      </w:pPr>
      <w:rPr>
        <w:rFonts w:hint="default"/>
        <w:lang w:val="mk" w:eastAsia="mk" w:bidi="mk"/>
      </w:rPr>
    </w:lvl>
    <w:lvl w:ilvl="6" w:tplc="B3E4A688">
      <w:numFmt w:val="bullet"/>
      <w:lvlText w:val="•"/>
      <w:lvlJc w:val="left"/>
      <w:pPr>
        <w:ind w:left="6799" w:hanging="348"/>
      </w:pPr>
      <w:rPr>
        <w:rFonts w:hint="default"/>
        <w:lang w:val="mk" w:eastAsia="mk" w:bidi="mk"/>
      </w:rPr>
    </w:lvl>
    <w:lvl w:ilvl="7" w:tplc="5A364986">
      <w:numFmt w:val="bullet"/>
      <w:lvlText w:val="•"/>
      <w:lvlJc w:val="left"/>
      <w:pPr>
        <w:ind w:left="7646" w:hanging="348"/>
      </w:pPr>
      <w:rPr>
        <w:rFonts w:hint="default"/>
        <w:lang w:val="mk" w:eastAsia="mk" w:bidi="mk"/>
      </w:rPr>
    </w:lvl>
    <w:lvl w:ilvl="8" w:tplc="F8C8AD60">
      <w:numFmt w:val="bullet"/>
      <w:lvlText w:val="•"/>
      <w:lvlJc w:val="left"/>
      <w:pPr>
        <w:ind w:left="8493" w:hanging="348"/>
      </w:pPr>
      <w:rPr>
        <w:rFonts w:hint="default"/>
        <w:lang w:val="mk" w:eastAsia="mk" w:bidi="mk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7321C"/>
    <w:rsid w:val="0057321C"/>
    <w:rsid w:val="005801D4"/>
    <w:rsid w:val="00CF17C6"/>
    <w:rsid w:val="00F6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C3EA"/>
  <w15:docId w15:val="{D396CA6E-75CD-4820-91E4-783323BC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eastAsia="mk"/>
    </w:rPr>
  </w:style>
  <w:style w:type="paragraph" w:styleId="Heading1">
    <w:name w:val="heading 1"/>
    <w:basedOn w:val="Normal"/>
    <w:uiPriority w:val="1"/>
    <w:qFormat/>
    <w:pPr>
      <w:ind w:left="99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7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judskiresursi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Melvinger</dc:creator>
  <cp:lastModifiedBy>Jan Nvota</cp:lastModifiedBy>
  <cp:revision>2</cp:revision>
  <dcterms:created xsi:type="dcterms:W3CDTF">2024-09-09T09:12:00Z</dcterms:created>
  <dcterms:modified xsi:type="dcterms:W3CDTF">2024-09-09T13:00:00Z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