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2835"/>
      </w:tblGrid>
      <w:tr w:rsidR="008D5ADB" w:rsidRPr="006900F6" w:rsidTr="00285B16">
        <w:trPr>
          <w:trHeight w:val="1975"/>
        </w:trPr>
        <w:tc>
          <w:tcPr>
            <w:tcW w:w="2410" w:type="dxa"/>
          </w:tcPr>
          <w:p w:rsidR="00BE61DE" w:rsidRPr="006900F6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r-HR"/>
              </w:rPr>
            </w:pPr>
            <w:r w:rsidRPr="006900F6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gridSpan w:val="2"/>
          </w:tcPr>
          <w:p w:rsidR="001B481F" w:rsidRPr="006900F6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</w:pPr>
          </w:p>
          <w:p w:rsidR="00BE61DE" w:rsidRPr="006900F6" w:rsidRDefault="00C8072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</w:pPr>
            <w:r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Republika</w:t>
            </w:r>
            <w:r w:rsidR="00BE61DE"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 xml:space="preserve"> </w:t>
            </w:r>
            <w:r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Srbija</w:t>
            </w:r>
          </w:p>
          <w:p w:rsidR="00BE61DE" w:rsidRPr="006900F6" w:rsidRDefault="00C80724" w:rsidP="006A0F02">
            <w:pPr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</w:pPr>
            <w:r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Autonomna</w:t>
            </w:r>
            <w:r w:rsidR="00BE61DE"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 xml:space="preserve"> </w:t>
            </w:r>
            <w:r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Pokrajina Vojvodina</w:t>
            </w:r>
          </w:p>
          <w:p w:rsidR="00BE61DE" w:rsidRPr="006900F6" w:rsidRDefault="00C80724" w:rsidP="006A0F02">
            <w:pPr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</w:pPr>
            <w:r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>Pokrajinsko</w:t>
            </w:r>
            <w:r w:rsidR="00BE61DE"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 xml:space="preserve"> </w:t>
            </w:r>
            <w:r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>tajništvo</w:t>
            </w:r>
            <w:r w:rsidR="00BE61DE"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 xml:space="preserve"> </w:t>
            </w:r>
            <w:r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>za</w:t>
            </w:r>
            <w:r w:rsidR="00BE61DE"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 xml:space="preserve"> </w:t>
            </w:r>
            <w:r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>obrazovanje</w:t>
            </w:r>
            <w:r w:rsidR="00BE61DE"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 xml:space="preserve">, </w:t>
            </w:r>
            <w:r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>propise</w:t>
            </w:r>
            <w:r w:rsidR="00BE61DE"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 xml:space="preserve">, </w:t>
            </w:r>
            <w:r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>upravu</w:t>
            </w:r>
            <w:r w:rsidR="00BE61DE"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br/>
            </w:r>
            <w:r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>i</w:t>
            </w:r>
            <w:r w:rsidR="00BE61DE"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 xml:space="preserve"> </w:t>
            </w:r>
            <w:r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>nacionalne</w:t>
            </w:r>
            <w:r w:rsidR="00BE61DE"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 xml:space="preserve"> </w:t>
            </w:r>
            <w:r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>manjine</w:t>
            </w:r>
            <w:r w:rsidR="00BE61DE"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 xml:space="preserve"> – </w:t>
            </w:r>
            <w:r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>nacionalne</w:t>
            </w:r>
            <w:r w:rsidR="00BE61DE"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 xml:space="preserve"> </w:t>
            </w:r>
            <w:r w:rsidRPr="006900F6">
              <w:rPr>
                <w:rFonts w:asciiTheme="minorHAnsi" w:eastAsia="Calibri" w:hAnsiTheme="minorHAnsi" w:cstheme="minorHAnsi"/>
                <w:b/>
                <w:sz w:val="20"/>
                <w:szCs w:val="16"/>
                <w:lang w:val="hr-HR"/>
              </w:rPr>
              <w:t>zajednice</w:t>
            </w:r>
          </w:p>
          <w:p w:rsidR="00BE61DE" w:rsidRPr="006900F6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</w:pPr>
          </w:p>
          <w:p w:rsidR="00BE61DE" w:rsidRPr="006900F6" w:rsidRDefault="00C8072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</w:pPr>
            <w:r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Bulevar</w:t>
            </w:r>
            <w:r w:rsidR="00BE61DE"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 xml:space="preserve"> </w:t>
            </w:r>
            <w:r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Mihajla</w:t>
            </w:r>
            <w:r w:rsidR="00BE61DE"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 xml:space="preserve"> </w:t>
            </w:r>
            <w:r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Pupina</w:t>
            </w:r>
            <w:r w:rsidR="00BE61DE"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 xml:space="preserve"> 16, 21000 </w:t>
            </w:r>
            <w:r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Novi</w:t>
            </w:r>
            <w:r w:rsidR="00BE61DE"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 xml:space="preserve"> </w:t>
            </w:r>
            <w:r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Sad</w:t>
            </w:r>
          </w:p>
          <w:p w:rsidR="00BE61DE" w:rsidRPr="006900F6" w:rsidRDefault="00C8072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</w:pPr>
            <w:r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T</w:t>
            </w:r>
            <w:r w:rsidR="00BE61DE"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: +381 21  487  460</w:t>
            </w:r>
            <w:r w:rsidR="00791F4B"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8</w:t>
            </w:r>
            <w:r w:rsidR="00BE61DE"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 xml:space="preserve">; </w:t>
            </w:r>
            <w:r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>F</w:t>
            </w:r>
            <w:r w:rsidR="00BE61DE" w:rsidRPr="006900F6">
              <w:rPr>
                <w:rFonts w:asciiTheme="minorHAnsi" w:eastAsia="Calibri" w:hAnsiTheme="minorHAnsi" w:cstheme="minorHAnsi"/>
                <w:sz w:val="20"/>
                <w:szCs w:val="16"/>
                <w:lang w:val="hr-HR"/>
              </w:rPr>
              <w:t xml:space="preserve"> +381 21 456 217</w:t>
            </w:r>
          </w:p>
          <w:p w:rsidR="00BE61DE" w:rsidRPr="006900F6" w:rsidRDefault="009E16DD" w:rsidP="00791F4B">
            <w:pPr>
              <w:spacing w:after="200"/>
              <w:rPr>
                <w:rFonts w:eastAsia="Calibri"/>
                <w:sz w:val="16"/>
                <w:szCs w:val="16"/>
                <w:lang w:val="hr-HR"/>
              </w:rPr>
            </w:pPr>
            <w:hyperlink r:id="rId9" w:history="1">
              <w:r w:rsidR="00791F4B" w:rsidRPr="006900F6">
                <w:rPr>
                  <w:rStyle w:val="Hyperlink"/>
                  <w:rFonts w:asciiTheme="minorHAnsi" w:eastAsia="Calibri" w:hAnsiTheme="minorHAnsi" w:cstheme="minorHAnsi"/>
                  <w:color w:val="auto"/>
                  <w:sz w:val="20"/>
                  <w:szCs w:val="16"/>
                  <w:lang w:val="hr-HR"/>
                </w:rPr>
                <w:t>ounz@vojvodina.gov.s</w:t>
              </w:r>
            </w:hyperlink>
            <w:r w:rsidR="00791F4B" w:rsidRPr="006900F6">
              <w:rPr>
                <w:rFonts w:eastAsia="Calibri"/>
                <w:sz w:val="20"/>
                <w:szCs w:val="16"/>
                <w:lang w:val="hr-HR"/>
              </w:rPr>
              <w:t xml:space="preserve"> </w:t>
            </w:r>
            <w:r w:rsidR="00BE61DE" w:rsidRPr="006900F6">
              <w:rPr>
                <w:rFonts w:eastAsia="Calibri"/>
                <w:sz w:val="20"/>
                <w:szCs w:val="16"/>
                <w:lang w:val="hr-HR"/>
              </w:rPr>
              <w:t xml:space="preserve"> </w:t>
            </w:r>
          </w:p>
        </w:tc>
      </w:tr>
      <w:tr w:rsidR="008D5ADB" w:rsidRPr="006900F6" w:rsidTr="00285B16">
        <w:trPr>
          <w:trHeight w:val="305"/>
        </w:trPr>
        <w:tc>
          <w:tcPr>
            <w:tcW w:w="2410" w:type="dxa"/>
          </w:tcPr>
          <w:p w:rsidR="00BE61DE" w:rsidRPr="006900F6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r-HR"/>
              </w:rPr>
            </w:pPr>
          </w:p>
        </w:tc>
        <w:tc>
          <w:tcPr>
            <w:tcW w:w="3861" w:type="dxa"/>
          </w:tcPr>
          <w:p w:rsidR="00BE61DE" w:rsidRPr="006900F6" w:rsidRDefault="00C8072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</w:pPr>
            <w:r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>KLASA</w:t>
            </w:r>
            <w:r w:rsidR="00BE61DE"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 xml:space="preserve">: </w:t>
            </w:r>
            <w:r w:rsidR="00655A47"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 xml:space="preserve">001271312 </w:t>
            </w:r>
            <w:r w:rsidR="000F16A1"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>2024 09427 005 001 000 001</w:t>
            </w:r>
          </w:p>
          <w:p w:rsidR="001B481F" w:rsidRPr="006900F6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</w:pPr>
          </w:p>
        </w:tc>
        <w:tc>
          <w:tcPr>
            <w:tcW w:w="2835" w:type="dxa"/>
          </w:tcPr>
          <w:p w:rsidR="00BE61DE" w:rsidRPr="006900F6" w:rsidRDefault="00C80724" w:rsidP="00EC2FA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</w:pPr>
            <w:r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>DATUM</w:t>
            </w:r>
            <w:r w:rsidR="00BE61DE"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 xml:space="preserve">: </w:t>
            </w:r>
            <w:r w:rsidR="00EC2FAC">
              <w:rPr>
                <w:rFonts w:asciiTheme="minorHAnsi" w:eastAsia="Calibri" w:hAnsiTheme="minorHAnsi" w:cstheme="minorHAnsi"/>
                <w:sz w:val="18"/>
                <w:szCs w:val="16"/>
                <w:lang w:val="sr-Cyrl-RS"/>
              </w:rPr>
              <w:t>9</w:t>
            </w:r>
            <w:bookmarkStart w:id="0" w:name="_GoBack"/>
            <w:bookmarkEnd w:id="0"/>
            <w:r w:rsidR="00B27C61"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>.</w:t>
            </w:r>
            <w:r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 xml:space="preserve"> </w:t>
            </w:r>
            <w:r w:rsidR="00B27C61"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>5</w:t>
            </w:r>
            <w:r w:rsidR="00B73BF5"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>.</w:t>
            </w:r>
            <w:r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 xml:space="preserve"> </w:t>
            </w:r>
            <w:r w:rsidR="000F16A1"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>2024</w:t>
            </w:r>
            <w:r w:rsidR="002036F0"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>.</w:t>
            </w:r>
            <w:r w:rsidR="000F16A1"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 xml:space="preserve"> </w:t>
            </w:r>
            <w:r w:rsidRPr="006900F6">
              <w:rPr>
                <w:rFonts w:asciiTheme="minorHAnsi" w:eastAsia="Calibri" w:hAnsiTheme="minorHAnsi" w:cstheme="minorHAnsi"/>
                <w:sz w:val="18"/>
                <w:szCs w:val="16"/>
                <w:lang w:val="hr-HR"/>
              </w:rPr>
              <w:t>godine</w:t>
            </w:r>
          </w:p>
        </w:tc>
      </w:tr>
    </w:tbl>
    <w:p w:rsidR="00BB265B" w:rsidRPr="006900F6" w:rsidRDefault="00C80724" w:rsidP="00BB265B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temelju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članka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 11.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skupštinske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odluke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dodjeli</w:t>
      </w:r>
      <w:r w:rsidR="00BF130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proračunskih</w:t>
      </w:r>
      <w:r w:rsidR="00BF130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sredstava</w:t>
      </w:r>
      <w:r w:rsidR="00BF130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BF130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unapređivanje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položaja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nacionalnih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manjina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–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nacionalnih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zajednica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razvoj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multikulturalizma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tolerancije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(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„Službeni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list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APV“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broj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8/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19)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,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čl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15.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16.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stavak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5.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skupštinske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odluke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pokrajinskoj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upravi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(„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Službeni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list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APV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“,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broj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37/14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54/14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-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dr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odluka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37/16, 29/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17, 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24/19, 66/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20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38/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21)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članka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13.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stavak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6.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Pravilnika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o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dodjeli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proračunskih sredstava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Pokrajinskog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tajništva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obrazovanje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propise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upravu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manjine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–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zajednice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unapređivanje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položaja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nacionalnih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manjina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–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nacionalnih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zajednica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razvoj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multikulturalizma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tolerancije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Autonomnoj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Vojvodini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 („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Službeni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list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APV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“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broj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7/23</w:t>
      </w:r>
      <w:r w:rsidR="00BF130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BF130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5/24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)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tajnik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donosi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:</w:t>
      </w:r>
    </w:p>
    <w:p w:rsidR="001B481F" w:rsidRPr="006900F6" w:rsidRDefault="001B481F" w:rsidP="002B5C59">
      <w:pPr>
        <w:ind w:firstLine="708"/>
        <w:jc w:val="both"/>
        <w:rPr>
          <w:rFonts w:asciiTheme="minorHAnsi" w:hAnsiTheme="minorHAnsi"/>
          <w:sz w:val="20"/>
          <w:szCs w:val="20"/>
          <w:lang w:val="hr-HR"/>
        </w:rPr>
      </w:pPr>
    </w:p>
    <w:p w:rsidR="0056396F" w:rsidRPr="006900F6" w:rsidRDefault="00C80724" w:rsidP="0056396F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6900F6">
        <w:rPr>
          <w:rFonts w:asciiTheme="minorHAnsi" w:hAnsiTheme="minorHAnsi"/>
          <w:b/>
          <w:sz w:val="20"/>
          <w:szCs w:val="20"/>
          <w:lang w:val="hr-HR"/>
        </w:rPr>
        <w:t>RJEŠENJE</w:t>
      </w:r>
    </w:p>
    <w:p w:rsidR="00170FB1" w:rsidRPr="006900F6" w:rsidRDefault="00C80724" w:rsidP="00655A47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6900F6">
        <w:rPr>
          <w:rFonts w:asciiTheme="minorHAnsi" w:hAnsiTheme="minorHAnsi"/>
          <w:b/>
          <w:sz w:val="20"/>
          <w:szCs w:val="20"/>
          <w:lang w:val="hr-HR"/>
        </w:rPr>
        <w:t>O</w:t>
      </w:r>
      <w:r w:rsidR="008C6BA4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DODJELI</w:t>
      </w:r>
      <w:r w:rsidR="008C6BA4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PRORAČUNSKIH</w:t>
      </w:r>
      <w:r w:rsidR="0053255A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SREDSTAVA</w:t>
      </w:r>
      <w:r w:rsidR="008C6BA4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PO</w:t>
      </w:r>
      <w:r w:rsidR="008C6BA4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JAVNOM</w:t>
      </w:r>
      <w:r w:rsidR="00517438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NATJEČAJU</w:t>
      </w:r>
      <w:r w:rsidR="00517438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ZA</w:t>
      </w:r>
      <w:r w:rsidR="00655A47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ORGANIZACIJU</w:t>
      </w:r>
      <w:r w:rsidR="00655A47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REGIONALNIH</w:t>
      </w:r>
      <w:r w:rsidR="00655A47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KVIZ</w:t>
      </w:r>
      <w:r w:rsidR="00655A47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NATJECANJA</w:t>
      </w:r>
      <w:r w:rsidR="00655A47" w:rsidRPr="006900F6">
        <w:rPr>
          <w:rFonts w:asciiTheme="minorHAnsi" w:hAnsiTheme="minorHAnsi"/>
          <w:b/>
          <w:sz w:val="20"/>
          <w:szCs w:val="20"/>
          <w:lang w:val="hr-HR"/>
        </w:rPr>
        <w:t xml:space="preserve"> "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KOLIKO</w:t>
      </w:r>
      <w:r w:rsidR="00655A47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SE</w:t>
      </w:r>
      <w:r w:rsidR="00655A47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POZNAJEMO</w:t>
      </w:r>
      <w:r w:rsidR="00655A47" w:rsidRPr="006900F6">
        <w:rPr>
          <w:rFonts w:asciiTheme="minorHAnsi" w:hAnsiTheme="minorHAnsi"/>
          <w:b/>
          <w:sz w:val="20"/>
          <w:szCs w:val="20"/>
          <w:lang w:val="hr-HR"/>
        </w:rPr>
        <w:t xml:space="preserve">" –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ŠESNAESTI</w:t>
      </w:r>
      <w:r w:rsidR="00655A47" w:rsidRPr="006900F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/>
          <w:b/>
          <w:sz w:val="20"/>
          <w:szCs w:val="20"/>
          <w:lang w:val="hr-HR"/>
        </w:rPr>
        <w:t>CIKLUS</w:t>
      </w:r>
    </w:p>
    <w:p w:rsidR="00E62E02" w:rsidRPr="006900F6" w:rsidRDefault="00F23D64" w:rsidP="00285B16">
      <w:pPr>
        <w:keepNext/>
        <w:spacing w:before="240" w:after="12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/>
          <w:sz w:val="20"/>
          <w:szCs w:val="20"/>
          <w:lang w:val="hr-HR"/>
        </w:rPr>
        <w:t>I</w:t>
      </w:r>
      <w:r w:rsidR="00681330" w:rsidRPr="006900F6">
        <w:rPr>
          <w:rFonts w:asciiTheme="minorHAnsi" w:hAnsiTheme="minorHAnsi" w:cstheme="minorHAnsi"/>
          <w:b/>
          <w:sz w:val="20"/>
          <w:szCs w:val="20"/>
          <w:lang w:val="hr-HR"/>
        </w:rPr>
        <w:t>.</w:t>
      </w:r>
    </w:p>
    <w:p w:rsidR="00E0051A" w:rsidRPr="006900F6" w:rsidRDefault="00C80724" w:rsidP="006900F6">
      <w:pPr>
        <w:spacing w:after="120"/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E0051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68133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temelju</w:t>
      </w:r>
      <w:r w:rsidR="00517438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Javnog</w:t>
      </w:r>
      <w:r w:rsidR="00517438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68133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natječaja</w:t>
      </w:r>
      <w:r w:rsidR="00517438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organizaciju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regionalnih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kviz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68133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natjecanja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"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Koliko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se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poznajemo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" –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šesnaesti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ciklus</w:t>
      </w:r>
      <w:r w:rsidR="003A364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raspisanog</w:t>
      </w:r>
      <w:r w:rsidR="003A364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dana</w:t>
      </w:r>
      <w:r w:rsidR="003A364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8.</w:t>
      </w:r>
      <w:r w:rsidR="0068133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4</w:t>
      </w:r>
      <w:r w:rsidR="000F16A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  <w:r w:rsidR="0068133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0F16A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2024</w:t>
      </w:r>
      <w:r w:rsidR="0055036E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  <w:r w:rsidR="00517438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godine</w:t>
      </w:r>
      <w:r w:rsidR="00517438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pod</w:t>
      </w:r>
      <w:r w:rsidR="00517438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brojem</w:t>
      </w:r>
      <w:r w:rsidR="00BB265B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001271312 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2024 09427 005 001 000 001,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koji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je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objavljen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68133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mrežnoj stranici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68133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Tajništva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8.</w:t>
      </w:r>
      <w:r w:rsidR="0068133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4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  <w:r w:rsidR="0068133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2024.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godine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sredstva</w:t>
      </w:r>
      <w:r w:rsidR="00E0051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se</w:t>
      </w:r>
      <w:r w:rsidR="00F36FE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</w:t>
      </w:r>
      <w:r w:rsidR="0068133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eljuju</w:t>
      </w:r>
      <w:r w:rsidR="00F36FE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sl</w:t>
      </w:r>
      <w:r w:rsidR="0068133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edećim</w:t>
      </w:r>
      <w:r w:rsidR="00F36FE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podnosi</w:t>
      </w:r>
      <w:r w:rsidR="0068133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telj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ima</w:t>
      </w:r>
      <w:r w:rsidR="00AC634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prijave</w:t>
      </w:r>
      <w:r w:rsidR="00F36FE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: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250"/>
        <w:gridCol w:w="1203"/>
        <w:gridCol w:w="1037"/>
        <w:gridCol w:w="3226"/>
        <w:gridCol w:w="777"/>
      </w:tblGrid>
      <w:tr w:rsidR="00285B16" w:rsidRPr="006900F6" w:rsidTr="006900F6">
        <w:trPr>
          <w:trHeight w:val="680"/>
          <w:jc w:val="center"/>
        </w:trPr>
        <w:tc>
          <w:tcPr>
            <w:tcW w:w="3250" w:type="dxa"/>
            <w:shd w:val="clear" w:color="auto" w:fill="A6A6A6" w:themeFill="background1" w:themeFillShade="A6"/>
            <w:vAlign w:val="center"/>
          </w:tcPr>
          <w:p w:rsidR="00DE14F4" w:rsidRPr="006900F6" w:rsidRDefault="00C80724" w:rsidP="0068133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Podnosi</w:t>
            </w:r>
            <w:r w:rsidR="00681330"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telj</w:t>
            </w:r>
            <w:r w:rsidR="00DE14F4"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prijave</w:t>
            </w:r>
          </w:p>
        </w:tc>
        <w:tc>
          <w:tcPr>
            <w:tcW w:w="1203" w:type="dxa"/>
            <w:shd w:val="clear" w:color="auto" w:fill="A6A6A6" w:themeFill="background1" w:themeFillShade="A6"/>
            <w:vAlign w:val="center"/>
          </w:tcPr>
          <w:p w:rsidR="00DE14F4" w:rsidRPr="006900F6" w:rsidRDefault="00C80724" w:rsidP="0068133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Naseljeno</w:t>
            </w:r>
            <w:r w:rsidR="00DE14F4"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m</w:t>
            </w:r>
            <w:r w:rsidR="00681330"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j</w:t>
            </w: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esto</w:t>
            </w:r>
          </w:p>
        </w:tc>
        <w:tc>
          <w:tcPr>
            <w:tcW w:w="1037" w:type="dxa"/>
            <w:shd w:val="clear" w:color="auto" w:fill="A6A6A6" w:themeFill="background1" w:themeFillShade="A6"/>
            <w:vAlign w:val="center"/>
          </w:tcPr>
          <w:p w:rsidR="00DE14F4" w:rsidRPr="006900F6" w:rsidRDefault="00C80724" w:rsidP="0068133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Iznos</w:t>
            </w:r>
            <w:r w:rsidR="00DE14F4"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za</w:t>
            </w:r>
            <w:r w:rsidR="00DE14F4"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dod</w:t>
            </w:r>
            <w:r w:rsidR="00681330"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j</w:t>
            </w: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elu</w:t>
            </w:r>
          </w:p>
        </w:tc>
        <w:tc>
          <w:tcPr>
            <w:tcW w:w="3226" w:type="dxa"/>
            <w:shd w:val="clear" w:color="auto" w:fill="A6A6A6" w:themeFill="background1" w:themeFillShade="A6"/>
            <w:vAlign w:val="center"/>
          </w:tcPr>
          <w:p w:rsidR="00DE14F4" w:rsidRPr="006900F6" w:rsidRDefault="00C80724" w:rsidP="0068133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Broj</w:t>
            </w:r>
            <w:r w:rsidR="00DE14F4"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777" w:type="dxa"/>
            <w:shd w:val="clear" w:color="auto" w:fill="A6A6A6" w:themeFill="background1" w:themeFillShade="A6"/>
            <w:vAlign w:val="center"/>
          </w:tcPr>
          <w:p w:rsidR="00DE14F4" w:rsidRPr="006900F6" w:rsidRDefault="00C80724" w:rsidP="0068133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Broj</w:t>
            </w:r>
          </w:p>
          <w:p w:rsidR="00DE14F4" w:rsidRPr="006900F6" w:rsidRDefault="00C80724" w:rsidP="0068133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6900F6"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  <w:t>bodova</w:t>
            </w:r>
          </w:p>
        </w:tc>
      </w:tr>
      <w:tr w:rsidR="00285B16" w:rsidRPr="006900F6" w:rsidTr="006900F6">
        <w:trPr>
          <w:trHeight w:val="454"/>
          <w:jc w:val="center"/>
        </w:trPr>
        <w:tc>
          <w:tcPr>
            <w:tcW w:w="3250" w:type="dxa"/>
            <w:vAlign w:val="center"/>
          </w:tcPr>
          <w:p w:rsidR="00DE14F4" w:rsidRPr="006900F6" w:rsidRDefault="00C80724" w:rsidP="004F762D">
            <w:pPr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Biskupijska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klasična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gimnazija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Paulinum</w:t>
            </w:r>
          </w:p>
        </w:tc>
        <w:tc>
          <w:tcPr>
            <w:tcW w:w="1203" w:type="dxa"/>
            <w:vAlign w:val="center"/>
          </w:tcPr>
          <w:p w:rsidR="00DE14F4" w:rsidRPr="006900F6" w:rsidRDefault="00C80724" w:rsidP="00A75527">
            <w:pPr>
              <w:ind w:left="34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Subotica</w:t>
            </w:r>
          </w:p>
        </w:tc>
        <w:tc>
          <w:tcPr>
            <w:tcW w:w="1037" w:type="dxa"/>
            <w:vAlign w:val="center"/>
          </w:tcPr>
          <w:p w:rsidR="00DE14F4" w:rsidRPr="006900F6" w:rsidRDefault="00DE14F4" w:rsidP="004F762D">
            <w:pPr>
              <w:jc w:val="right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120.600,00</w:t>
            </w:r>
          </w:p>
        </w:tc>
        <w:tc>
          <w:tcPr>
            <w:tcW w:w="3226" w:type="dxa"/>
            <w:vAlign w:val="center"/>
          </w:tcPr>
          <w:p w:rsidR="00DE14F4" w:rsidRPr="006900F6" w:rsidRDefault="00DE14F4" w:rsidP="004F762D">
            <w:pPr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001490114 2024 09427 005 001 000 001</w:t>
            </w:r>
          </w:p>
        </w:tc>
        <w:tc>
          <w:tcPr>
            <w:tcW w:w="777" w:type="dxa"/>
            <w:vAlign w:val="center"/>
          </w:tcPr>
          <w:p w:rsidR="00DE14F4" w:rsidRPr="006900F6" w:rsidRDefault="00DE14F4" w:rsidP="004F762D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25</w:t>
            </w:r>
          </w:p>
        </w:tc>
      </w:tr>
      <w:tr w:rsidR="00285B16" w:rsidRPr="006900F6" w:rsidTr="006900F6">
        <w:trPr>
          <w:trHeight w:val="454"/>
          <w:jc w:val="center"/>
        </w:trPr>
        <w:tc>
          <w:tcPr>
            <w:tcW w:w="3250" w:type="dxa"/>
            <w:vAlign w:val="center"/>
          </w:tcPr>
          <w:p w:rsidR="00DE14F4" w:rsidRPr="006900F6" w:rsidRDefault="00C80724" w:rsidP="004F762D">
            <w:pPr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Ekonomsko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-</w:t>
            </w: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trgovinska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škola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 xml:space="preserve"> "</w:t>
            </w: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Vuk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Karadžić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"</w:t>
            </w:r>
          </w:p>
        </w:tc>
        <w:tc>
          <w:tcPr>
            <w:tcW w:w="1203" w:type="dxa"/>
            <w:vAlign w:val="center"/>
          </w:tcPr>
          <w:p w:rsidR="00DE14F4" w:rsidRPr="006900F6" w:rsidRDefault="00C80724" w:rsidP="00A75527">
            <w:pPr>
              <w:ind w:left="34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Stara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Pazova</w:t>
            </w:r>
          </w:p>
        </w:tc>
        <w:tc>
          <w:tcPr>
            <w:tcW w:w="1037" w:type="dxa"/>
            <w:vAlign w:val="center"/>
          </w:tcPr>
          <w:p w:rsidR="00DE14F4" w:rsidRPr="006900F6" w:rsidRDefault="00DE14F4" w:rsidP="004F762D">
            <w:pPr>
              <w:jc w:val="right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52.000,00</w:t>
            </w:r>
          </w:p>
        </w:tc>
        <w:tc>
          <w:tcPr>
            <w:tcW w:w="3226" w:type="dxa"/>
            <w:vAlign w:val="center"/>
          </w:tcPr>
          <w:p w:rsidR="00DE14F4" w:rsidRPr="006900F6" w:rsidRDefault="00DE14F4" w:rsidP="004F762D">
            <w:pPr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001489920 2024 09427 005 001 000 001</w:t>
            </w:r>
          </w:p>
        </w:tc>
        <w:tc>
          <w:tcPr>
            <w:tcW w:w="777" w:type="dxa"/>
            <w:vAlign w:val="center"/>
          </w:tcPr>
          <w:p w:rsidR="00DE14F4" w:rsidRPr="006900F6" w:rsidRDefault="00DE14F4" w:rsidP="004F762D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23</w:t>
            </w:r>
          </w:p>
        </w:tc>
      </w:tr>
      <w:tr w:rsidR="00285B16" w:rsidRPr="006900F6" w:rsidTr="006900F6">
        <w:trPr>
          <w:trHeight w:val="454"/>
          <w:jc w:val="center"/>
        </w:trPr>
        <w:tc>
          <w:tcPr>
            <w:tcW w:w="3250" w:type="dxa"/>
            <w:vAlign w:val="center"/>
          </w:tcPr>
          <w:p w:rsidR="00DE14F4" w:rsidRPr="006900F6" w:rsidRDefault="00C80724" w:rsidP="00A75527">
            <w:pPr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Osnovna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škola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 xml:space="preserve"> "</w:t>
            </w:r>
            <w:r w:rsidR="00A75527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Szervó Mihály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"</w:t>
            </w:r>
          </w:p>
        </w:tc>
        <w:tc>
          <w:tcPr>
            <w:tcW w:w="1203" w:type="dxa"/>
            <w:vAlign w:val="center"/>
          </w:tcPr>
          <w:p w:rsidR="00DE14F4" w:rsidRPr="006900F6" w:rsidRDefault="00C80724" w:rsidP="00A75527">
            <w:pPr>
              <w:ind w:left="34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Zrenjanin</w:t>
            </w:r>
          </w:p>
        </w:tc>
        <w:tc>
          <w:tcPr>
            <w:tcW w:w="1037" w:type="dxa"/>
            <w:vAlign w:val="center"/>
          </w:tcPr>
          <w:p w:rsidR="00DE14F4" w:rsidRPr="006900F6" w:rsidRDefault="00DE14F4" w:rsidP="004F762D">
            <w:pPr>
              <w:jc w:val="right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48.000,00</w:t>
            </w:r>
          </w:p>
        </w:tc>
        <w:tc>
          <w:tcPr>
            <w:tcW w:w="3226" w:type="dxa"/>
            <w:vAlign w:val="center"/>
          </w:tcPr>
          <w:p w:rsidR="00DE14F4" w:rsidRPr="006900F6" w:rsidRDefault="00DE14F4" w:rsidP="004F762D">
            <w:pPr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001490075 2024 09427 005 001 000 001</w:t>
            </w:r>
          </w:p>
        </w:tc>
        <w:tc>
          <w:tcPr>
            <w:tcW w:w="777" w:type="dxa"/>
            <w:vAlign w:val="center"/>
          </w:tcPr>
          <w:p w:rsidR="00DE14F4" w:rsidRPr="006900F6" w:rsidRDefault="00DE14F4" w:rsidP="004F762D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20</w:t>
            </w:r>
          </w:p>
        </w:tc>
      </w:tr>
      <w:tr w:rsidR="00285B16" w:rsidRPr="006900F6" w:rsidTr="006900F6">
        <w:trPr>
          <w:trHeight w:val="454"/>
          <w:jc w:val="center"/>
        </w:trPr>
        <w:tc>
          <w:tcPr>
            <w:tcW w:w="3250" w:type="dxa"/>
            <w:vAlign w:val="center"/>
          </w:tcPr>
          <w:p w:rsidR="00DE14F4" w:rsidRPr="006900F6" w:rsidRDefault="00C80724" w:rsidP="00A75527">
            <w:pPr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Kulturno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obrazovni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 xml:space="preserve"> </w:t>
            </w: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centar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 xml:space="preserve"> "</w:t>
            </w:r>
            <w:r w:rsidR="00A75527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Thurzó Lajos</w:t>
            </w:r>
            <w:r w:rsidR="00DE14F4"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"</w:t>
            </w:r>
          </w:p>
        </w:tc>
        <w:tc>
          <w:tcPr>
            <w:tcW w:w="1203" w:type="dxa"/>
            <w:vAlign w:val="center"/>
          </w:tcPr>
          <w:p w:rsidR="00DE14F4" w:rsidRPr="006900F6" w:rsidRDefault="00C80724" w:rsidP="00A75527">
            <w:pPr>
              <w:ind w:left="34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Senta</w:t>
            </w:r>
          </w:p>
        </w:tc>
        <w:tc>
          <w:tcPr>
            <w:tcW w:w="1037" w:type="dxa"/>
            <w:vAlign w:val="center"/>
          </w:tcPr>
          <w:p w:rsidR="00DE14F4" w:rsidRPr="006900F6" w:rsidRDefault="00DE14F4" w:rsidP="004F762D">
            <w:pPr>
              <w:jc w:val="right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3226" w:type="dxa"/>
            <w:vAlign w:val="center"/>
          </w:tcPr>
          <w:p w:rsidR="00DE14F4" w:rsidRPr="006900F6" w:rsidRDefault="00DE14F4" w:rsidP="004F762D">
            <w:pPr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001490018 2024 09427 005 001 000 001</w:t>
            </w:r>
          </w:p>
        </w:tc>
        <w:tc>
          <w:tcPr>
            <w:tcW w:w="777" w:type="dxa"/>
            <w:vAlign w:val="center"/>
          </w:tcPr>
          <w:p w:rsidR="00DE14F4" w:rsidRPr="006900F6" w:rsidRDefault="00DE14F4" w:rsidP="004F762D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6900F6">
              <w:rPr>
                <w:rFonts w:asciiTheme="minorHAnsi" w:hAnsiTheme="minorHAnsi" w:cs="Arial"/>
                <w:sz w:val="18"/>
                <w:szCs w:val="18"/>
                <w:lang w:val="hr-HR"/>
              </w:rPr>
              <w:t>17</w:t>
            </w:r>
          </w:p>
        </w:tc>
      </w:tr>
    </w:tbl>
    <w:p w:rsidR="002737C2" w:rsidRPr="006900F6" w:rsidRDefault="002737C2" w:rsidP="00285B16">
      <w:pPr>
        <w:keepNext/>
        <w:spacing w:before="240" w:after="12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/>
          <w:sz w:val="20"/>
          <w:szCs w:val="20"/>
          <w:lang w:val="hr-HR"/>
        </w:rPr>
        <w:t>II</w:t>
      </w:r>
      <w:r w:rsidR="00681330" w:rsidRPr="006900F6">
        <w:rPr>
          <w:rFonts w:asciiTheme="minorHAnsi" w:hAnsiTheme="minorHAnsi" w:cstheme="minorHAnsi"/>
          <w:b/>
          <w:sz w:val="20"/>
          <w:szCs w:val="20"/>
          <w:lang w:val="hr-HR"/>
        </w:rPr>
        <w:t>.</w:t>
      </w:r>
    </w:p>
    <w:p w:rsidR="002737C2" w:rsidRPr="006900F6" w:rsidRDefault="00C80724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4F762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natječaju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nije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bilo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prijava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podnosi</w:t>
      </w:r>
      <w:r w:rsidR="004F762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telj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kojima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nisu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</w:t>
      </w:r>
      <w:r w:rsidR="004F762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eljena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sredstva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</w:p>
    <w:p w:rsidR="00A75527" w:rsidRPr="006900F6" w:rsidRDefault="00A75527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</w:p>
    <w:p w:rsidR="002737C2" w:rsidRPr="006900F6" w:rsidRDefault="002737C2" w:rsidP="00285B16">
      <w:pPr>
        <w:keepNext/>
        <w:spacing w:before="240" w:after="12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/>
          <w:sz w:val="20"/>
          <w:szCs w:val="20"/>
          <w:lang w:val="hr-HR"/>
        </w:rPr>
        <w:t>III</w:t>
      </w:r>
      <w:r w:rsidR="00681330" w:rsidRPr="006900F6">
        <w:rPr>
          <w:rFonts w:asciiTheme="minorHAnsi" w:hAnsiTheme="minorHAnsi" w:cstheme="minorHAnsi"/>
          <w:b/>
          <w:sz w:val="20"/>
          <w:szCs w:val="20"/>
          <w:lang w:val="hr-HR"/>
        </w:rPr>
        <w:t>.</w:t>
      </w:r>
    </w:p>
    <w:p w:rsidR="002737C2" w:rsidRPr="006900F6" w:rsidRDefault="00C80724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Ovo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ešenje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izboru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programa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/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projekata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objavljuje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zvaničnoj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mrežnoj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stranici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Pokrajinskog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tajništva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</w:p>
    <w:p w:rsidR="00707AD1" w:rsidRPr="006900F6" w:rsidRDefault="00707AD1" w:rsidP="002737C2">
      <w:pPr>
        <w:ind w:firstLine="708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 w:rsidR="002737C2" w:rsidRPr="006900F6" w:rsidRDefault="00C80724" w:rsidP="002737C2">
      <w:pPr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/>
          <w:sz w:val="20"/>
          <w:szCs w:val="20"/>
          <w:lang w:val="hr-HR"/>
        </w:rPr>
        <w:t>Obrazloženje</w:t>
      </w:r>
    </w:p>
    <w:p w:rsidR="002737C2" w:rsidRPr="006900F6" w:rsidRDefault="002737C2" w:rsidP="002737C2">
      <w:pPr>
        <w:jc w:val="center"/>
        <w:rPr>
          <w:rFonts w:asciiTheme="minorHAnsi" w:hAnsiTheme="minorHAnsi" w:cstheme="minorHAnsi"/>
          <w:sz w:val="20"/>
          <w:szCs w:val="20"/>
          <w:lang w:val="hr-HR"/>
        </w:rPr>
      </w:pPr>
    </w:p>
    <w:p w:rsidR="00246F2A" w:rsidRPr="006900F6" w:rsidRDefault="00C80724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Član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om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11.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skupštinske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odluke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eli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proračun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skih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sredstava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unapređenje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položaja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nacionalnih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manjina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–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nacionalnih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zajednica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razvoj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multikulturalizma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tolerancije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(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„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Sl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.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list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APV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“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broj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8/19)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član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om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13.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Pravilnika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o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eli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proračunskih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sredstava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Pokrajinskog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tajništva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obrazovanje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propise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upravu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manjine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–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zajednice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unapređivanje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položaja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nacionalnih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manjina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–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nacionalnih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zajednica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razvoj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multikulturalizma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tolerancije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Autonomnoj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okrajini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Vojvodini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(„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Službeni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list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APV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“,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broj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7/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23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5/24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)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propisan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je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postupak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ele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sredstava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nakon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okončanog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natječaja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,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nadležnost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natječajnog povjerenstva</w:t>
      </w:r>
      <w:r w:rsidR="008C285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kao</w:t>
      </w:r>
      <w:r w:rsidR="008C285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8C285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odluku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eli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sredstava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donosi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pokrajinski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A7552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tajnik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pošto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istekne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rok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podnošenje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prigovora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listu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vrednovanja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rangiranja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</w:p>
    <w:p w:rsidR="00246F2A" w:rsidRPr="006900F6" w:rsidRDefault="00A75527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lastRenderedPageBreak/>
        <w:t xml:space="preserve">Sukladno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navedenim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propisima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tajništvo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obrazovanje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propise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upravu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nacionalne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manjine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–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nacionalne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zajednice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je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dana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8.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655A47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4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2024.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godine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raspisa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l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Javni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natječaj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organizaciju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regionalnih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kviz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natjecanja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"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Koliko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se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poznajemo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" –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šesnaesti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ciklus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,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pod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brojem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001271312 </w:t>
      </w:r>
      <w:r w:rsidR="00246F2A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2024 09427 005 001 000 001</w:t>
      </w:r>
      <w:r w:rsidR="008C285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</w:p>
    <w:p w:rsidR="005503F4" w:rsidRPr="006900F6" w:rsidRDefault="00A75527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Natječajno povjerenstvo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prov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edbu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postupka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ele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proračunskih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sredstava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formirano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ešenjem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broj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001271312 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2024 09427 005 001 000 001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od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 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2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3.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4.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2024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.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godine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</w:p>
    <w:p w:rsidR="005503F4" w:rsidRPr="006900F6" w:rsidRDefault="00C80724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isteku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roka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podnošenje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prijava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Natječajno povjerenstvo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je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pristupil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pregledanju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pristiglih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prijava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natječaj</w:t>
      </w:r>
      <w:r w:rsidR="005503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</w:p>
    <w:p w:rsidR="006608FD" w:rsidRPr="006900F6" w:rsidRDefault="002737C2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Natječajno povjerenstvo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konstat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ir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al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F91E4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da</w:t>
      </w:r>
      <w:r w:rsidR="00F91E4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F91E4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natječaj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nisu</w:t>
      </w:r>
      <w:r w:rsidR="00F91E4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pristigle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nepotpune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ili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nepravilno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popunjene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tj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.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kojima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nisu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popunjena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sva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obvezna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polja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kao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koje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nisu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potpisane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pečatirane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ne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pravodob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nedopuštene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</w:p>
    <w:p w:rsidR="009121C0" w:rsidRPr="006900F6" w:rsidRDefault="00285B16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Natječajno povjerenstvo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je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nakon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razmatranja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vrednovanja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navedenom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natječaju</w:t>
      </w:r>
      <w:r w:rsidR="006608FD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utvrdil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listu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vrednovanja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bodovanja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rangiranja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koja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objavljena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zvaničnoj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mrežnoj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stranici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Pokrajinskog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tajništva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23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4.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2024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  <w:r w:rsidR="00B73BF5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godine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. </w:t>
      </w:r>
    </w:p>
    <w:p w:rsidR="00785594" w:rsidRPr="006900F6" w:rsidRDefault="00C80724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Nakon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objavljivanja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liste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vrednovanja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roku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podnošenje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prigovora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Tajništvu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nisu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podne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sen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prigovori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listu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vrednovanja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bodovanja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9B1489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rangiranja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</w:p>
    <w:p w:rsidR="00785594" w:rsidRPr="006900F6" w:rsidRDefault="00C80724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isteku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roka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podnošenje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ešavanje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prigovorima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stekli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su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se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uv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jet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donošenje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odluke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eli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sredstava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</w:p>
    <w:p w:rsidR="00785594" w:rsidRPr="006900F6" w:rsidRDefault="00C80724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Prim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enjujući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navedene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propise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nakon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okončanog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postupka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elu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sredstava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pokrajinski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tajnik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je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don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ešenje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eli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proračunskih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sredstava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javnom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natječaju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natječaja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organizaciju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regionalnih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kviz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natjecanja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"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Koliko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se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poznajemo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" –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šesnaesti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ciklus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.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ovom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ešenju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navedeni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su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podnosi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telj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kojima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su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odobrena</w:t>
      </w:r>
      <w:r w:rsidR="009121C0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sredstava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.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navedenom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natječaju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nije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bilo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prijava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kojima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nisu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dod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eljena</w:t>
      </w:r>
      <w:r w:rsidR="00DE14F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sredstva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</w:p>
    <w:p w:rsidR="002737C2" w:rsidRPr="006900F6" w:rsidRDefault="00285B16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Sukladno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naveden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m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svojim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ovlaš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enjem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za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odlučivanje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sadržanim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član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15.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16.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stav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ak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5.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Pokrajinske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skupštinske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odluke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pokrajinskoj</w:t>
      </w:r>
      <w:r w:rsidR="0078559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upravi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,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done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sen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</w:t>
      </w:r>
      <w:r w:rsidR="003E4A83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ešenje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kao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C80724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u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pravorijeku</w:t>
      </w:r>
      <w:r w:rsidR="002737C2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</w:p>
    <w:p w:rsidR="0038748D" w:rsidRPr="006900F6" w:rsidRDefault="0038748D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</w:p>
    <w:p w:rsidR="002737C2" w:rsidRPr="006900F6" w:rsidRDefault="00C80724" w:rsidP="00A75527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Ovo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r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ešenje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je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konačno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i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objavi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t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će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se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na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zvaničnoj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mrežnoj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stranici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Pr="006900F6">
        <w:rPr>
          <w:rFonts w:asciiTheme="minorHAnsi" w:hAnsiTheme="minorHAnsi" w:cstheme="minorHAnsi"/>
          <w:bCs/>
          <w:sz w:val="20"/>
          <w:szCs w:val="20"/>
          <w:lang w:val="hr-HR"/>
        </w:rPr>
        <w:t>Pokrajinskog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 xml:space="preserve"> </w:t>
      </w:r>
      <w:r w:rsidR="00285B16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tajništva</w:t>
      </w:r>
      <w:r w:rsidR="005F1201" w:rsidRPr="006900F6">
        <w:rPr>
          <w:rFonts w:asciiTheme="minorHAnsi" w:hAnsiTheme="minorHAnsi" w:cstheme="minorHAnsi"/>
          <w:bCs/>
          <w:sz w:val="20"/>
          <w:szCs w:val="20"/>
          <w:lang w:val="hr-HR"/>
        </w:rPr>
        <w:t>.</w:t>
      </w:r>
    </w:p>
    <w:p w:rsidR="0038748D" w:rsidRPr="006900F6" w:rsidRDefault="0038748D" w:rsidP="002737C2">
      <w:pPr>
        <w:ind w:firstLine="708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 w:rsidR="00B05BD2" w:rsidRPr="006900F6" w:rsidRDefault="00B05BD2" w:rsidP="002737C2">
      <w:pPr>
        <w:ind w:firstLine="708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 w:rsidR="0038748D" w:rsidRPr="006900F6" w:rsidRDefault="0038748D" w:rsidP="002737C2">
      <w:pPr>
        <w:ind w:firstLine="708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3119" w:type="dxa"/>
        <w:tblInd w:w="6237" w:type="dxa"/>
        <w:tblLook w:val="04A0" w:firstRow="1" w:lastRow="0" w:firstColumn="1" w:lastColumn="0" w:noHBand="0" w:noVBand="1"/>
      </w:tblPr>
      <w:tblGrid>
        <w:gridCol w:w="3119"/>
      </w:tblGrid>
      <w:tr w:rsidR="008D5ADB" w:rsidRPr="006900F6" w:rsidTr="006900F6">
        <w:tc>
          <w:tcPr>
            <w:tcW w:w="3119" w:type="dxa"/>
            <w:shd w:val="clear" w:color="auto" w:fill="auto"/>
          </w:tcPr>
          <w:p w:rsidR="002737C2" w:rsidRPr="006900F6" w:rsidRDefault="00C80724" w:rsidP="00285B1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900F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POKRAJINSKI</w:t>
            </w:r>
            <w:r w:rsidR="002737C2" w:rsidRPr="006900F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85B16" w:rsidRPr="006900F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TAJNIK</w:t>
            </w:r>
          </w:p>
        </w:tc>
      </w:tr>
      <w:tr w:rsidR="008D5ADB" w:rsidRPr="006900F6" w:rsidTr="006900F6">
        <w:tc>
          <w:tcPr>
            <w:tcW w:w="3119" w:type="dxa"/>
            <w:shd w:val="clear" w:color="auto" w:fill="auto"/>
          </w:tcPr>
          <w:p w:rsidR="00EC2FAC" w:rsidRPr="00EC2FAC" w:rsidRDefault="00EC2FAC" w:rsidP="00EC2FAC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EC2FAC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Ótott Róbert</w:t>
            </w:r>
          </w:p>
          <w:p w:rsidR="002737C2" w:rsidRPr="006900F6" w:rsidRDefault="002737C2" w:rsidP="00EC2FAC">
            <w:pPr>
              <w:spacing w:before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2737C2" w:rsidRPr="006900F6" w:rsidTr="006900F6">
        <w:tc>
          <w:tcPr>
            <w:tcW w:w="3119" w:type="dxa"/>
            <w:shd w:val="clear" w:color="auto" w:fill="auto"/>
          </w:tcPr>
          <w:p w:rsidR="002737C2" w:rsidRPr="006900F6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:rsidR="00F870FF" w:rsidRPr="006900F6" w:rsidRDefault="00F870FF" w:rsidP="00D0326D">
      <w:pPr>
        <w:tabs>
          <w:tab w:val="center" w:pos="7088"/>
        </w:tabs>
        <w:jc w:val="both"/>
        <w:rPr>
          <w:rFonts w:ascii="Calibri" w:hAnsi="Calibri"/>
          <w:sz w:val="20"/>
          <w:szCs w:val="20"/>
          <w:lang w:val="hr-HR"/>
        </w:rPr>
      </w:pPr>
    </w:p>
    <w:sectPr w:rsidR="00F870FF" w:rsidRPr="006900F6" w:rsidSect="00285B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DD" w:rsidRDefault="009E16DD" w:rsidP="00C80724">
      <w:r>
        <w:separator/>
      </w:r>
    </w:p>
  </w:endnote>
  <w:endnote w:type="continuationSeparator" w:id="0">
    <w:p w:rsidR="009E16DD" w:rsidRDefault="009E16DD" w:rsidP="00C8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2D" w:rsidRDefault="004F7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2D" w:rsidRDefault="004F7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2D" w:rsidRDefault="004F7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DD" w:rsidRDefault="009E16DD" w:rsidP="00C80724">
      <w:r>
        <w:separator/>
      </w:r>
    </w:p>
  </w:footnote>
  <w:footnote w:type="continuationSeparator" w:id="0">
    <w:p w:rsidR="009E16DD" w:rsidRDefault="009E16DD" w:rsidP="00C8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2D" w:rsidRDefault="004F7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2D" w:rsidRDefault="004F7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2D" w:rsidRDefault="004F7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3CD"/>
    <w:rsid w:val="000D1A62"/>
    <w:rsid w:val="000E08B8"/>
    <w:rsid w:val="000F0FCA"/>
    <w:rsid w:val="000F16A1"/>
    <w:rsid w:val="000F6E2B"/>
    <w:rsid w:val="00100204"/>
    <w:rsid w:val="0010789A"/>
    <w:rsid w:val="00111510"/>
    <w:rsid w:val="00170FB1"/>
    <w:rsid w:val="00171206"/>
    <w:rsid w:val="00193F92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46F2A"/>
    <w:rsid w:val="002621B8"/>
    <w:rsid w:val="002737C2"/>
    <w:rsid w:val="00285B16"/>
    <w:rsid w:val="002B380B"/>
    <w:rsid w:val="002B5C59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C4061"/>
    <w:rsid w:val="003C629D"/>
    <w:rsid w:val="003E4A83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D281B"/>
    <w:rsid w:val="004F200D"/>
    <w:rsid w:val="004F762D"/>
    <w:rsid w:val="00502103"/>
    <w:rsid w:val="00517438"/>
    <w:rsid w:val="005175D5"/>
    <w:rsid w:val="0053255A"/>
    <w:rsid w:val="00540F21"/>
    <w:rsid w:val="0054148B"/>
    <w:rsid w:val="00543D7B"/>
    <w:rsid w:val="0055036E"/>
    <w:rsid w:val="005503F4"/>
    <w:rsid w:val="0056396F"/>
    <w:rsid w:val="00566487"/>
    <w:rsid w:val="0057715C"/>
    <w:rsid w:val="00577A79"/>
    <w:rsid w:val="00577AF4"/>
    <w:rsid w:val="00594C72"/>
    <w:rsid w:val="00595516"/>
    <w:rsid w:val="005A5D1C"/>
    <w:rsid w:val="005B0763"/>
    <w:rsid w:val="005B20FA"/>
    <w:rsid w:val="005B6D5B"/>
    <w:rsid w:val="005E4003"/>
    <w:rsid w:val="005E6A1F"/>
    <w:rsid w:val="005F1201"/>
    <w:rsid w:val="00600A3D"/>
    <w:rsid w:val="006050B9"/>
    <w:rsid w:val="006202B4"/>
    <w:rsid w:val="006405F9"/>
    <w:rsid w:val="00655A47"/>
    <w:rsid w:val="006608FD"/>
    <w:rsid w:val="00681330"/>
    <w:rsid w:val="006900F6"/>
    <w:rsid w:val="00696613"/>
    <w:rsid w:val="006A0F02"/>
    <w:rsid w:val="006C125E"/>
    <w:rsid w:val="006C5DC2"/>
    <w:rsid w:val="006D4672"/>
    <w:rsid w:val="006E202C"/>
    <w:rsid w:val="006F0B65"/>
    <w:rsid w:val="00701FBF"/>
    <w:rsid w:val="00707AD1"/>
    <w:rsid w:val="0073191C"/>
    <w:rsid w:val="00785594"/>
    <w:rsid w:val="00791F4B"/>
    <w:rsid w:val="007A1AF6"/>
    <w:rsid w:val="007D6CF8"/>
    <w:rsid w:val="007E223F"/>
    <w:rsid w:val="00814F58"/>
    <w:rsid w:val="00853ADD"/>
    <w:rsid w:val="0085745D"/>
    <w:rsid w:val="008627DA"/>
    <w:rsid w:val="00866195"/>
    <w:rsid w:val="0088361D"/>
    <w:rsid w:val="008C2856"/>
    <w:rsid w:val="008C424C"/>
    <w:rsid w:val="008C6BA4"/>
    <w:rsid w:val="008D1BF1"/>
    <w:rsid w:val="008D5ADB"/>
    <w:rsid w:val="009121C0"/>
    <w:rsid w:val="00925AE1"/>
    <w:rsid w:val="00947058"/>
    <w:rsid w:val="00951D19"/>
    <w:rsid w:val="00955490"/>
    <w:rsid w:val="00981301"/>
    <w:rsid w:val="0099098A"/>
    <w:rsid w:val="009B1489"/>
    <w:rsid w:val="009B1AD2"/>
    <w:rsid w:val="009D20A0"/>
    <w:rsid w:val="009D3CB2"/>
    <w:rsid w:val="009E16DD"/>
    <w:rsid w:val="009E5B71"/>
    <w:rsid w:val="00A47415"/>
    <w:rsid w:val="00A75527"/>
    <w:rsid w:val="00A75AAD"/>
    <w:rsid w:val="00A90116"/>
    <w:rsid w:val="00AC6349"/>
    <w:rsid w:val="00AC76CC"/>
    <w:rsid w:val="00AD36DB"/>
    <w:rsid w:val="00B05BD2"/>
    <w:rsid w:val="00B24CC2"/>
    <w:rsid w:val="00B27C61"/>
    <w:rsid w:val="00B40C38"/>
    <w:rsid w:val="00B44DC9"/>
    <w:rsid w:val="00B50296"/>
    <w:rsid w:val="00B56150"/>
    <w:rsid w:val="00B56AE4"/>
    <w:rsid w:val="00B73BF5"/>
    <w:rsid w:val="00B81707"/>
    <w:rsid w:val="00BB265B"/>
    <w:rsid w:val="00BB7FB7"/>
    <w:rsid w:val="00BC5505"/>
    <w:rsid w:val="00BE61DE"/>
    <w:rsid w:val="00BF1309"/>
    <w:rsid w:val="00BF5D56"/>
    <w:rsid w:val="00C10B2E"/>
    <w:rsid w:val="00C3606B"/>
    <w:rsid w:val="00C42F6B"/>
    <w:rsid w:val="00C51D82"/>
    <w:rsid w:val="00C74DB8"/>
    <w:rsid w:val="00C80724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111C"/>
    <w:rsid w:val="00DE14F4"/>
    <w:rsid w:val="00E0051A"/>
    <w:rsid w:val="00E11C89"/>
    <w:rsid w:val="00E62E02"/>
    <w:rsid w:val="00EC2FAC"/>
    <w:rsid w:val="00ED385D"/>
    <w:rsid w:val="00ED7D0E"/>
    <w:rsid w:val="00F062D9"/>
    <w:rsid w:val="00F23D64"/>
    <w:rsid w:val="00F36FE4"/>
    <w:rsid w:val="00F64F96"/>
    <w:rsid w:val="00F75D16"/>
    <w:rsid w:val="00F870FF"/>
    <w:rsid w:val="00F91E40"/>
    <w:rsid w:val="00FA62E5"/>
    <w:rsid w:val="00FB4383"/>
    <w:rsid w:val="00FE04F7"/>
    <w:rsid w:val="00FE694A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08231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en-US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val="sr-Latn-RS"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val="sr-Latn-RS"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val="sr-Latn-RS"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val="sr-Latn-RS"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val="sr-Latn-RS"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val="sr-Latn-RS"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val="sr-Latn-RS"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val="sr-Latn-RS"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val="sr-Latn-RS"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val="sr-Latn-RS"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val="sr-Latn-RS"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sr-Latn-RS"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sr-Latn-RS"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sr-Latn-RS"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sr-Latn-RS"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sr-Latn-RS"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sr-Latn-RS"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sr-Latn-RS"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sr-Latn-RS"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val="sr-Latn-RS" w:eastAsia="sr-Latn-RS"/>
    </w:rPr>
  </w:style>
  <w:style w:type="paragraph" w:customStyle="1" w:styleId="xl84">
    <w:name w:val="xl84"/>
    <w:basedOn w:val="Normal"/>
    <w:rsid w:val="00C10B2E"/>
    <w:pPr>
      <w:spacing w:before="100" w:beforeAutospacing="1" w:after="100" w:afterAutospacing="1"/>
    </w:pPr>
    <w:rPr>
      <w:rFonts w:ascii="Times New Roman" w:hAnsi="Times New Roman"/>
      <w:lang w:val="sr-Latn-RS" w:eastAsia="sr-Latn-RS"/>
    </w:rPr>
  </w:style>
  <w:style w:type="paragraph" w:customStyle="1" w:styleId="xl85">
    <w:name w:val="xl85"/>
    <w:basedOn w:val="Normal"/>
    <w:rsid w:val="00C10B2E"/>
    <w:pPr>
      <w:spacing w:before="100" w:beforeAutospacing="1" w:after="100" w:afterAutospacing="1"/>
    </w:pPr>
    <w:rPr>
      <w:rFonts w:ascii="Arial" w:hAnsi="Arial" w:cs="Arial"/>
      <w:lang w:val="sr-Latn-RS" w:eastAsia="sr-Latn-RS"/>
    </w:rPr>
  </w:style>
  <w:style w:type="paragraph" w:customStyle="1" w:styleId="xl86">
    <w:name w:val="xl86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sr-Latn-RS" w:eastAsia="sr-Latn-RS"/>
    </w:rPr>
  </w:style>
  <w:style w:type="paragraph" w:customStyle="1" w:styleId="xl87">
    <w:name w:val="xl87"/>
    <w:basedOn w:val="Normal"/>
    <w:rsid w:val="00C10B2E"/>
    <w:pPr>
      <w:spacing w:before="100" w:beforeAutospacing="1" w:after="100" w:afterAutospacing="1"/>
      <w:jc w:val="center"/>
    </w:pPr>
    <w:rPr>
      <w:rFonts w:ascii="Times New Roman" w:hAnsi="Times New Roman"/>
      <w:lang w:val="sr-Latn-RS" w:eastAsia="sr-Latn-RS"/>
    </w:rPr>
  </w:style>
  <w:style w:type="paragraph" w:customStyle="1" w:styleId="xl88">
    <w:name w:val="xl88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u w:val="single"/>
      <w:lang w:val="sr-Latn-RS" w:eastAsia="sr-Latn-RS"/>
    </w:rPr>
  </w:style>
  <w:style w:type="paragraph" w:customStyle="1" w:styleId="xl89">
    <w:name w:val="xl89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lang w:val="sr-Latn-RS" w:eastAsia="sr-Latn-RS"/>
    </w:rPr>
  </w:style>
  <w:style w:type="paragraph" w:customStyle="1" w:styleId="xl90">
    <w:name w:val="xl90"/>
    <w:basedOn w:val="Normal"/>
    <w:rsid w:val="00C10B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lang w:val="sr-Latn-RS" w:eastAsia="sr-Latn-RS"/>
    </w:rPr>
  </w:style>
  <w:style w:type="paragraph" w:customStyle="1" w:styleId="xl91">
    <w:name w:val="xl91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6387-E4B0-4726-8B18-FE00AD01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Bojan Greguric</cp:lastModifiedBy>
  <cp:revision>20</cp:revision>
  <cp:lastPrinted>2023-05-22T08:57:00Z</cp:lastPrinted>
  <dcterms:created xsi:type="dcterms:W3CDTF">2024-04-23T12:37:00Z</dcterms:created>
  <dcterms:modified xsi:type="dcterms:W3CDTF">2024-05-09T07:13:00Z</dcterms:modified>
</cp:coreProperties>
</file>