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428"/>
        <w:gridCol w:w="3227"/>
      </w:tblGrid>
      <w:tr w:rsidR="008D5ADB" w:rsidRPr="008D5ADB" w:rsidTr="001E0F0E">
        <w:trPr>
          <w:trHeight w:val="1975"/>
        </w:trPr>
        <w:tc>
          <w:tcPr>
            <w:tcW w:w="2410" w:type="dxa"/>
          </w:tcPr>
          <w:p w:rsidR="00BE61DE" w:rsidRPr="008D5ADB" w:rsidRDefault="001E0F0E" w:rsidP="006A0F02">
            <w:pPr>
              <w:tabs>
                <w:tab w:val="center" w:pos="4703"/>
                <w:tab w:val="right" w:pos="9406"/>
              </w:tabs>
              <w:ind w:left="-198" w:firstLine="108"/>
              <w:rPr>
                <w:rFonts w:eastAsia="Calibri"/>
                <w:noProof/>
                <w:sz w:val="16"/>
                <w:szCs w:val="16"/>
              </w:rPr>
            </w:pPr>
            <w:r>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Pr="008D5ADB"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8D5ADB"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8D5ADB"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8D5ADB" w:rsidRDefault="00F23D64" w:rsidP="006A0F02">
            <w:pPr>
              <w:rPr>
                <w:rFonts w:asciiTheme="minorHAnsi" w:eastAsia="Calibri" w:hAnsiTheme="minorHAnsi" w:cstheme="minorHAnsi"/>
                <w:b/>
                <w:noProof/>
                <w:sz w:val="20"/>
                <w:szCs w:val="16"/>
              </w:rPr>
            </w:pPr>
            <w:r>
              <w:rPr>
                <w:rFonts w:asciiTheme="minorHAnsi" w:hAnsiTheme="minorHAnsi"/>
                <w:b/>
                <w:bCs/>
                <w:sz w:val="20"/>
                <w:szCs w:val="16"/>
              </w:rPr>
              <w:t>Secretariatul Provincial pentru Educaţie, Reglementări, Administraţie</w:t>
            </w:r>
            <w:r>
              <w:rPr>
                <w:rFonts w:asciiTheme="minorHAnsi" w:hAnsiTheme="minorHAnsi"/>
                <w:b/>
                <w:sz w:val="20"/>
                <w:szCs w:val="16"/>
              </w:rPr>
              <w:br/>
            </w:r>
            <w:r>
              <w:rPr>
                <w:rFonts w:asciiTheme="minorHAnsi" w:hAnsiTheme="minorHAnsi"/>
                <w:b/>
                <w:bCs/>
                <w:sz w:val="20"/>
                <w:szCs w:val="16"/>
              </w:rPr>
              <w:t>şi Minorităţile Naţionale - Comunităţile Naţionale</w:t>
            </w:r>
          </w:p>
          <w:p w:rsidR="00BE61DE" w:rsidRPr="008D5ADB"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8D5ADB"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8D5ADB"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8D5ADB" w:rsidRDefault="00980020" w:rsidP="00791F4B">
            <w:pPr>
              <w:spacing w:after="200"/>
              <w:rPr>
                <w:rFonts w:eastAsia="Calibri"/>
                <w:noProof/>
                <w:sz w:val="16"/>
                <w:szCs w:val="16"/>
              </w:rPr>
            </w:pPr>
            <w:hyperlink r:id="rId7" w:history="1">
              <w:r w:rsidR="00D74EDC">
                <w:rPr>
                  <w:rStyle w:val="Hyperlink"/>
                  <w:rFonts w:asciiTheme="minorHAnsi" w:hAnsiTheme="minorHAnsi"/>
                  <w:color w:val="auto"/>
                  <w:sz w:val="20"/>
                  <w:szCs w:val="16"/>
                </w:rPr>
                <w:t>ounz@vojvodina.gov.s</w:t>
              </w:r>
            </w:hyperlink>
            <w:r w:rsidR="00D74EDC">
              <w:rPr>
                <w:sz w:val="20"/>
                <w:szCs w:val="16"/>
              </w:rPr>
              <w:t xml:space="preserve">  </w:t>
            </w:r>
          </w:p>
        </w:tc>
      </w:tr>
      <w:tr w:rsidR="008D5ADB" w:rsidRPr="008D5ADB" w:rsidTr="00980020">
        <w:trPr>
          <w:trHeight w:val="305"/>
        </w:trPr>
        <w:tc>
          <w:tcPr>
            <w:tcW w:w="2410" w:type="dxa"/>
          </w:tcPr>
          <w:p w:rsidR="00BE61DE" w:rsidRPr="008D5ADB" w:rsidRDefault="00BE61DE" w:rsidP="006A0F02">
            <w:pPr>
              <w:tabs>
                <w:tab w:val="center" w:pos="4703"/>
                <w:tab w:val="right" w:pos="9406"/>
              </w:tabs>
              <w:ind w:left="-198" w:firstLine="108"/>
              <w:rPr>
                <w:rFonts w:eastAsia="Calibri"/>
                <w:noProof/>
                <w:sz w:val="16"/>
                <w:szCs w:val="16"/>
                <w:lang w:val="sr-Cyrl-CS"/>
              </w:rPr>
            </w:pPr>
          </w:p>
        </w:tc>
        <w:tc>
          <w:tcPr>
            <w:tcW w:w="4428" w:type="dxa"/>
          </w:tcPr>
          <w:p w:rsidR="00BE61DE" w:rsidRPr="008D5ADB"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001271312 2024 09427 005 001 000 001</w:t>
            </w:r>
          </w:p>
          <w:p w:rsidR="001B481F" w:rsidRPr="008D5ADB"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3227" w:type="dxa"/>
          </w:tcPr>
          <w:p w:rsidR="00BE61DE" w:rsidRPr="008D5ADB" w:rsidRDefault="00F23D64" w:rsidP="00980020">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0</w:t>
            </w:r>
            <w:r w:rsidR="00980020">
              <w:rPr>
                <w:rFonts w:asciiTheme="minorHAnsi" w:hAnsiTheme="minorHAnsi"/>
                <w:sz w:val="18"/>
                <w:szCs w:val="16"/>
                <w:lang w:val="sr-Cyrl-RS"/>
              </w:rPr>
              <w:t>9</w:t>
            </w:r>
            <w:r>
              <w:rPr>
                <w:rFonts w:asciiTheme="minorHAnsi" w:hAnsiTheme="minorHAnsi"/>
                <w:sz w:val="18"/>
                <w:szCs w:val="16"/>
              </w:rPr>
              <w:t>.05.2024</w:t>
            </w:r>
          </w:p>
        </w:tc>
      </w:tr>
    </w:tbl>
    <w:p w:rsidR="00BB265B" w:rsidRPr="008D5ADB" w:rsidRDefault="00BB265B" w:rsidP="00BB265B">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11 din Hotărârea Adunării Provinciei privind repartizarea mijloacelor bugetare pentru avansarea statutului minorităţilor naţionale – comunităţilor naţionale şi dezvoltarea multiculturalismului şi toleranţei („Buletinul oficial al P.A.V.”, numărul: 8/19, art. 15 şi 16 alineatul 5 din Hotărârea Adunării Provinciei privind administraţia provincială ("Buletinul oficial al P.A.V.", numerele: 37/14, 54/14-altă şi 37/16, 29/17, 24/19, 66/20 şi 38/21) şi articolului 13 alineatul 6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și 5/24), secretarul provincial emite:</w:t>
      </w:r>
    </w:p>
    <w:p w:rsidR="001B481F" w:rsidRPr="008D5ADB" w:rsidRDefault="001B481F" w:rsidP="002B5C59">
      <w:pPr>
        <w:ind w:firstLine="708"/>
        <w:jc w:val="both"/>
        <w:rPr>
          <w:rFonts w:asciiTheme="minorHAnsi" w:hAnsiTheme="minorHAnsi"/>
          <w:noProof/>
          <w:sz w:val="20"/>
          <w:szCs w:val="20"/>
        </w:rPr>
      </w:pPr>
    </w:p>
    <w:p w:rsidR="0056396F" w:rsidRPr="008D5ADB" w:rsidRDefault="00F23D64" w:rsidP="0056396F">
      <w:pPr>
        <w:jc w:val="center"/>
        <w:rPr>
          <w:rFonts w:asciiTheme="minorHAnsi" w:hAnsiTheme="minorHAnsi"/>
          <w:b/>
          <w:noProof/>
          <w:sz w:val="20"/>
          <w:szCs w:val="20"/>
        </w:rPr>
      </w:pPr>
      <w:r>
        <w:rPr>
          <w:rFonts w:asciiTheme="minorHAnsi" w:hAnsiTheme="minorHAnsi"/>
          <w:b/>
          <w:sz w:val="20"/>
          <w:szCs w:val="20"/>
        </w:rPr>
        <w:t>DECIZIA</w:t>
      </w:r>
    </w:p>
    <w:p w:rsidR="00170FB1" w:rsidRPr="008D5ADB" w:rsidRDefault="00F23D64" w:rsidP="00655A47">
      <w:pPr>
        <w:jc w:val="center"/>
        <w:rPr>
          <w:rFonts w:asciiTheme="minorHAnsi" w:hAnsiTheme="minorHAnsi"/>
          <w:b/>
          <w:noProof/>
          <w:sz w:val="20"/>
          <w:szCs w:val="20"/>
        </w:rPr>
      </w:pPr>
      <w:r>
        <w:rPr>
          <w:rFonts w:asciiTheme="minorHAnsi" w:hAnsiTheme="minorHAnsi"/>
          <w:b/>
          <w:sz w:val="20"/>
          <w:szCs w:val="20"/>
        </w:rPr>
        <w:t>PRIVIND REPARTIZAREA MIJLOACELOR BUGETARE CONFORM CONCURSULUI PUBLIC PENTRU ORGANIZAREA COMPETIŢIILOR REGIONALE „CÂT DE BINE NE CUNOAŞTEM” – EDIȚIA A XVI-a</w:t>
      </w:r>
    </w:p>
    <w:p w:rsidR="00655A47" w:rsidRPr="008D5ADB" w:rsidRDefault="00655A47" w:rsidP="00655A47">
      <w:pPr>
        <w:jc w:val="center"/>
        <w:rPr>
          <w:rFonts w:asciiTheme="minorHAnsi" w:hAnsiTheme="minorHAnsi"/>
          <w:noProof/>
          <w:sz w:val="20"/>
          <w:szCs w:val="20"/>
          <w:lang w:val="sr-Latn-RS"/>
        </w:rPr>
      </w:pPr>
    </w:p>
    <w:p w:rsidR="00E62E02" w:rsidRPr="008D5ADB" w:rsidRDefault="00F23D64" w:rsidP="0056396F">
      <w:pPr>
        <w:jc w:val="center"/>
        <w:rPr>
          <w:rFonts w:asciiTheme="minorHAnsi" w:hAnsiTheme="minorHAnsi"/>
          <w:b/>
          <w:noProof/>
          <w:sz w:val="20"/>
          <w:szCs w:val="20"/>
        </w:rPr>
      </w:pPr>
      <w:r>
        <w:rPr>
          <w:rFonts w:asciiTheme="minorHAnsi" w:hAnsiTheme="minorHAnsi"/>
          <w:b/>
          <w:bCs/>
          <w:sz w:val="20"/>
          <w:szCs w:val="20"/>
        </w:rPr>
        <w:t>I</w:t>
      </w:r>
    </w:p>
    <w:p w:rsidR="002036F0" w:rsidRPr="008D5ADB" w:rsidRDefault="002036F0" w:rsidP="0056396F">
      <w:pPr>
        <w:jc w:val="center"/>
        <w:rPr>
          <w:rFonts w:asciiTheme="minorHAnsi" w:hAnsiTheme="minorHAnsi"/>
          <w:noProof/>
          <w:sz w:val="20"/>
          <w:szCs w:val="20"/>
          <w:lang w:val="sr-Cyrl-CS"/>
        </w:rPr>
      </w:pPr>
    </w:p>
    <w:p w:rsidR="00E0051A" w:rsidRPr="008D5ADB" w:rsidRDefault="00E0051A" w:rsidP="00517438">
      <w:pPr>
        <w:ind w:right="-46" w:firstLine="540"/>
        <w:jc w:val="both"/>
        <w:rPr>
          <w:rFonts w:asciiTheme="minorHAnsi" w:hAnsiTheme="minorHAnsi" w:cs="Arial"/>
          <w:bCs/>
          <w:noProof/>
          <w:sz w:val="20"/>
          <w:szCs w:val="20"/>
        </w:rPr>
      </w:pPr>
      <w:r>
        <w:rPr>
          <w:rFonts w:asciiTheme="minorHAnsi" w:hAnsiTheme="minorHAnsi"/>
          <w:bCs/>
          <w:sz w:val="20"/>
          <w:szCs w:val="20"/>
        </w:rPr>
        <w:t>În baza Concursului public pentru organizarea competiţiilor regionale „Cât de bine ne cunoaştem” - ediția a XVI-a, publicat pe data de 08.04.2024, sub numărul 001271312 2024 09427 005 001 000 001, care a fost publicat îpe site-ul Secretariatului, pe data de 08.04.2024, mijloacele se alocă următorilor semnatari ai cererilor:</w:t>
      </w:r>
    </w:p>
    <w:p w:rsidR="001B481F" w:rsidRPr="008D5ADB" w:rsidRDefault="001B481F" w:rsidP="00517438">
      <w:pPr>
        <w:ind w:right="-46" w:firstLine="540"/>
        <w:jc w:val="both"/>
        <w:rPr>
          <w:rFonts w:asciiTheme="minorHAnsi" w:hAnsiTheme="minorHAnsi" w:cs="Arial"/>
          <w:bCs/>
          <w:noProof/>
          <w:sz w:val="20"/>
          <w:szCs w:val="20"/>
          <w:lang w:val="sr-Cyrl-CS"/>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8D5ADB" w:rsidRPr="008D5ADB" w:rsidTr="009265EF">
        <w:trPr>
          <w:trHeight w:val="821"/>
        </w:trPr>
        <w:tc>
          <w:tcPr>
            <w:tcW w:w="2981" w:type="dxa"/>
            <w:shd w:val="clear" w:color="auto" w:fill="A6A6A6" w:themeFill="background1" w:themeFillShade="A6"/>
            <w:vAlign w:val="center"/>
          </w:tcPr>
          <w:p w:rsidR="00DE14F4" w:rsidRPr="008D5ADB" w:rsidRDefault="00DE14F4" w:rsidP="009265EF">
            <w:pP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DE14F4" w:rsidRPr="008D5ADB" w:rsidRDefault="00DE14F4" w:rsidP="009265EF">
            <w:pP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DE14F4" w:rsidRPr="008D5ADB" w:rsidRDefault="00DE14F4" w:rsidP="009265EF">
            <w:pPr>
              <w:jc w:val="right"/>
              <w:rPr>
                <w:rFonts w:ascii="Calibri" w:eastAsia="Calibri" w:hAnsi="Calibri" w:cs="Calibri"/>
                <w:b/>
                <w:bCs/>
                <w:sz w:val="18"/>
                <w:szCs w:val="18"/>
              </w:rPr>
            </w:pPr>
            <w:r>
              <w:rPr>
                <w:rFonts w:ascii="Calibri" w:hAnsi="Calibri"/>
                <w:b/>
                <w:bCs/>
                <w:sz w:val="18"/>
                <w:szCs w:val="18"/>
              </w:rPr>
              <w:t>Cuantumul de repartizare</w:t>
            </w:r>
          </w:p>
        </w:tc>
        <w:tc>
          <w:tcPr>
            <w:tcW w:w="2556" w:type="dxa"/>
            <w:shd w:val="clear" w:color="auto" w:fill="A6A6A6" w:themeFill="background1" w:themeFillShade="A6"/>
            <w:vAlign w:val="center"/>
          </w:tcPr>
          <w:p w:rsidR="00DE14F4" w:rsidRPr="008D5ADB" w:rsidRDefault="00DE14F4" w:rsidP="009265EF">
            <w:pP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DE14F4" w:rsidRPr="008D5ADB" w:rsidRDefault="00DE14F4" w:rsidP="009265EF">
            <w:pPr>
              <w:jc w:val="center"/>
              <w:rPr>
                <w:rFonts w:ascii="Calibri" w:eastAsia="Calibri" w:hAnsi="Calibri" w:cs="Calibri"/>
                <w:b/>
                <w:bCs/>
                <w:sz w:val="18"/>
                <w:szCs w:val="18"/>
              </w:rPr>
            </w:pPr>
            <w:r>
              <w:rPr>
                <w:rFonts w:ascii="Calibri" w:hAnsi="Calibri"/>
                <w:b/>
                <w:bCs/>
                <w:sz w:val="18"/>
                <w:szCs w:val="18"/>
              </w:rPr>
              <w:t>Numărul de</w:t>
            </w:r>
          </w:p>
          <w:p w:rsidR="00DE14F4" w:rsidRPr="008D5ADB" w:rsidRDefault="00DE14F4" w:rsidP="009265EF">
            <w:pPr>
              <w:jc w:val="center"/>
              <w:rPr>
                <w:rFonts w:ascii="Calibri" w:eastAsia="Calibri" w:hAnsi="Calibri" w:cs="Calibri"/>
                <w:b/>
                <w:bCs/>
                <w:sz w:val="18"/>
                <w:szCs w:val="18"/>
              </w:rPr>
            </w:pPr>
            <w:r>
              <w:rPr>
                <w:rFonts w:ascii="Calibri" w:hAnsi="Calibri"/>
                <w:b/>
                <w:bCs/>
                <w:sz w:val="18"/>
                <w:szCs w:val="18"/>
              </w:rPr>
              <w:t>puncte</w:t>
            </w:r>
          </w:p>
        </w:tc>
      </w:tr>
      <w:tr w:rsidR="008D5ADB" w:rsidRPr="008D5ADB" w:rsidTr="009265EF">
        <w:trPr>
          <w:trHeight w:val="521"/>
        </w:trPr>
        <w:tc>
          <w:tcPr>
            <w:tcW w:w="2981"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Liceul clasic episcopal Paulinum</w:t>
            </w:r>
          </w:p>
        </w:tc>
        <w:tc>
          <w:tcPr>
            <w:tcW w:w="1885"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Subotica</w:t>
            </w:r>
          </w:p>
        </w:tc>
        <w:tc>
          <w:tcPr>
            <w:tcW w:w="1459" w:type="dxa"/>
            <w:vAlign w:val="center"/>
          </w:tcPr>
          <w:p w:rsidR="00DE14F4" w:rsidRPr="008D5ADB" w:rsidRDefault="00DE14F4" w:rsidP="009265EF">
            <w:pPr>
              <w:jc w:val="right"/>
              <w:rPr>
                <w:rFonts w:asciiTheme="minorHAnsi" w:hAnsiTheme="minorHAnsi" w:cs="Arial"/>
                <w:sz w:val="18"/>
                <w:szCs w:val="18"/>
              </w:rPr>
            </w:pPr>
            <w:r>
              <w:rPr>
                <w:rFonts w:asciiTheme="minorHAnsi" w:hAnsiTheme="minorHAnsi"/>
                <w:sz w:val="18"/>
                <w:szCs w:val="18"/>
              </w:rPr>
              <w:t>120.600,00</w:t>
            </w:r>
          </w:p>
        </w:tc>
        <w:tc>
          <w:tcPr>
            <w:tcW w:w="2556"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001490114 2024 09427 005 001 000 001</w:t>
            </w:r>
          </w:p>
        </w:tc>
        <w:tc>
          <w:tcPr>
            <w:tcW w:w="1066" w:type="dxa"/>
            <w:vAlign w:val="center"/>
          </w:tcPr>
          <w:p w:rsidR="00DE14F4" w:rsidRPr="008D5ADB" w:rsidRDefault="00DE14F4" w:rsidP="009265EF">
            <w:pPr>
              <w:jc w:val="center"/>
              <w:rPr>
                <w:rFonts w:asciiTheme="minorHAnsi" w:hAnsiTheme="minorHAnsi" w:cs="Arial"/>
                <w:sz w:val="18"/>
                <w:szCs w:val="18"/>
              </w:rPr>
            </w:pPr>
            <w:r>
              <w:rPr>
                <w:rFonts w:asciiTheme="minorHAnsi" w:hAnsiTheme="minorHAnsi"/>
                <w:sz w:val="18"/>
                <w:szCs w:val="18"/>
              </w:rPr>
              <w:t>25</w:t>
            </w:r>
          </w:p>
        </w:tc>
      </w:tr>
      <w:tr w:rsidR="008D5ADB" w:rsidRPr="008D5ADB" w:rsidTr="009265EF">
        <w:trPr>
          <w:trHeight w:val="551"/>
        </w:trPr>
        <w:tc>
          <w:tcPr>
            <w:tcW w:w="2981"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Şcoala de Economie şi Comerţ „Vuk Karadžić”</w:t>
            </w:r>
          </w:p>
        </w:tc>
        <w:tc>
          <w:tcPr>
            <w:tcW w:w="1885"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Stara Pazova</w:t>
            </w:r>
          </w:p>
        </w:tc>
        <w:tc>
          <w:tcPr>
            <w:tcW w:w="1459" w:type="dxa"/>
            <w:vAlign w:val="center"/>
          </w:tcPr>
          <w:p w:rsidR="00DE14F4" w:rsidRPr="008D5ADB" w:rsidRDefault="00DE14F4" w:rsidP="009265EF">
            <w:pPr>
              <w:jc w:val="right"/>
              <w:rPr>
                <w:rFonts w:asciiTheme="minorHAnsi" w:hAnsiTheme="minorHAnsi" w:cs="Arial"/>
                <w:sz w:val="18"/>
                <w:szCs w:val="18"/>
              </w:rPr>
            </w:pPr>
            <w:r>
              <w:rPr>
                <w:rFonts w:asciiTheme="minorHAnsi" w:hAnsiTheme="minorHAnsi"/>
                <w:sz w:val="18"/>
                <w:szCs w:val="18"/>
              </w:rPr>
              <w:t>52.000,00</w:t>
            </w:r>
          </w:p>
        </w:tc>
        <w:tc>
          <w:tcPr>
            <w:tcW w:w="2556"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001489920 2024 09427 005 001 000 001</w:t>
            </w:r>
          </w:p>
        </w:tc>
        <w:tc>
          <w:tcPr>
            <w:tcW w:w="1066" w:type="dxa"/>
            <w:vAlign w:val="center"/>
          </w:tcPr>
          <w:p w:rsidR="00DE14F4" w:rsidRPr="008D5ADB" w:rsidRDefault="00DE14F4" w:rsidP="009265EF">
            <w:pPr>
              <w:jc w:val="center"/>
              <w:rPr>
                <w:rFonts w:asciiTheme="minorHAnsi" w:hAnsiTheme="minorHAnsi" w:cs="Arial"/>
                <w:sz w:val="18"/>
                <w:szCs w:val="18"/>
              </w:rPr>
            </w:pPr>
            <w:r>
              <w:rPr>
                <w:rFonts w:asciiTheme="minorHAnsi" w:hAnsiTheme="minorHAnsi"/>
                <w:sz w:val="18"/>
                <w:szCs w:val="18"/>
              </w:rPr>
              <w:t>23</w:t>
            </w:r>
          </w:p>
        </w:tc>
      </w:tr>
      <w:tr w:rsidR="008D5ADB" w:rsidRPr="008D5ADB" w:rsidTr="009265EF">
        <w:trPr>
          <w:trHeight w:val="551"/>
        </w:trPr>
        <w:tc>
          <w:tcPr>
            <w:tcW w:w="2981"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Școala Elementară „Servo Mihalj”</w:t>
            </w:r>
          </w:p>
        </w:tc>
        <w:tc>
          <w:tcPr>
            <w:tcW w:w="1885"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Zrenianin</w:t>
            </w:r>
          </w:p>
        </w:tc>
        <w:tc>
          <w:tcPr>
            <w:tcW w:w="1459" w:type="dxa"/>
            <w:vAlign w:val="center"/>
          </w:tcPr>
          <w:p w:rsidR="00DE14F4" w:rsidRPr="008D5ADB" w:rsidRDefault="00DE14F4" w:rsidP="009265EF">
            <w:pPr>
              <w:jc w:val="right"/>
              <w:rPr>
                <w:rFonts w:asciiTheme="minorHAnsi" w:hAnsiTheme="minorHAnsi" w:cs="Arial"/>
                <w:sz w:val="18"/>
                <w:szCs w:val="18"/>
              </w:rPr>
            </w:pPr>
            <w:r>
              <w:rPr>
                <w:rFonts w:asciiTheme="minorHAnsi" w:hAnsiTheme="minorHAnsi"/>
                <w:sz w:val="18"/>
                <w:szCs w:val="18"/>
              </w:rPr>
              <w:t>48.000,00</w:t>
            </w:r>
          </w:p>
        </w:tc>
        <w:tc>
          <w:tcPr>
            <w:tcW w:w="2556"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001490075 2024 09427 005 001 000 001</w:t>
            </w:r>
          </w:p>
        </w:tc>
        <w:tc>
          <w:tcPr>
            <w:tcW w:w="1066" w:type="dxa"/>
            <w:vAlign w:val="center"/>
          </w:tcPr>
          <w:p w:rsidR="00DE14F4" w:rsidRPr="008D5ADB" w:rsidRDefault="00DE14F4" w:rsidP="009265EF">
            <w:pPr>
              <w:jc w:val="center"/>
              <w:rPr>
                <w:rFonts w:asciiTheme="minorHAnsi" w:hAnsiTheme="minorHAnsi" w:cs="Arial"/>
                <w:sz w:val="18"/>
                <w:szCs w:val="18"/>
              </w:rPr>
            </w:pPr>
            <w:r>
              <w:rPr>
                <w:rFonts w:asciiTheme="minorHAnsi" w:hAnsiTheme="minorHAnsi"/>
                <w:sz w:val="18"/>
                <w:szCs w:val="18"/>
              </w:rPr>
              <w:t>20</w:t>
            </w:r>
          </w:p>
        </w:tc>
      </w:tr>
      <w:tr w:rsidR="008D5ADB" w:rsidRPr="008D5ADB" w:rsidTr="009265EF">
        <w:trPr>
          <w:trHeight w:val="551"/>
        </w:trPr>
        <w:tc>
          <w:tcPr>
            <w:tcW w:w="2981"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Centrul Cultural Educativ „Thurzó Lajos”</w:t>
            </w:r>
          </w:p>
        </w:tc>
        <w:tc>
          <w:tcPr>
            <w:tcW w:w="1885"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Senta</w:t>
            </w:r>
          </w:p>
        </w:tc>
        <w:tc>
          <w:tcPr>
            <w:tcW w:w="1459" w:type="dxa"/>
            <w:vAlign w:val="center"/>
          </w:tcPr>
          <w:p w:rsidR="00DE14F4" w:rsidRPr="008D5ADB" w:rsidRDefault="00DE14F4" w:rsidP="009265EF">
            <w:pPr>
              <w:jc w:val="right"/>
              <w:rPr>
                <w:rFonts w:asciiTheme="minorHAnsi" w:hAnsiTheme="minorHAnsi" w:cs="Arial"/>
                <w:sz w:val="18"/>
                <w:szCs w:val="18"/>
              </w:rPr>
            </w:pPr>
            <w:r>
              <w:rPr>
                <w:rFonts w:asciiTheme="minorHAnsi" w:hAnsiTheme="minorHAnsi"/>
                <w:sz w:val="18"/>
                <w:szCs w:val="18"/>
              </w:rPr>
              <w:t>40.000,00</w:t>
            </w:r>
          </w:p>
        </w:tc>
        <w:tc>
          <w:tcPr>
            <w:tcW w:w="2556" w:type="dxa"/>
            <w:vAlign w:val="center"/>
          </w:tcPr>
          <w:p w:rsidR="00DE14F4" w:rsidRPr="008D5ADB" w:rsidRDefault="00DE14F4" w:rsidP="009265EF">
            <w:pPr>
              <w:rPr>
                <w:rFonts w:asciiTheme="minorHAnsi" w:hAnsiTheme="minorHAnsi" w:cs="Arial"/>
                <w:sz w:val="18"/>
                <w:szCs w:val="18"/>
              </w:rPr>
            </w:pPr>
            <w:r>
              <w:rPr>
                <w:rFonts w:asciiTheme="minorHAnsi" w:hAnsiTheme="minorHAnsi"/>
                <w:sz w:val="18"/>
                <w:szCs w:val="18"/>
              </w:rPr>
              <w:t>001490018 2024 09427 005 001 000 001</w:t>
            </w:r>
          </w:p>
        </w:tc>
        <w:tc>
          <w:tcPr>
            <w:tcW w:w="1066" w:type="dxa"/>
            <w:vAlign w:val="center"/>
          </w:tcPr>
          <w:p w:rsidR="00DE14F4" w:rsidRPr="008D5ADB" w:rsidRDefault="00DE14F4" w:rsidP="009265EF">
            <w:pPr>
              <w:jc w:val="center"/>
              <w:rPr>
                <w:rFonts w:asciiTheme="minorHAnsi" w:hAnsiTheme="minorHAnsi" w:cs="Arial"/>
                <w:sz w:val="18"/>
                <w:szCs w:val="18"/>
              </w:rPr>
            </w:pPr>
            <w:r>
              <w:rPr>
                <w:rFonts w:asciiTheme="minorHAnsi" w:hAnsiTheme="minorHAnsi"/>
                <w:sz w:val="18"/>
                <w:szCs w:val="18"/>
              </w:rPr>
              <w:t>17</w:t>
            </w:r>
          </w:p>
        </w:tc>
      </w:tr>
    </w:tbl>
    <w:p w:rsidR="00FB4383" w:rsidRPr="008D5ADB" w:rsidRDefault="00FB4383" w:rsidP="002B5C59">
      <w:pPr>
        <w:rPr>
          <w:rFonts w:asciiTheme="minorHAnsi" w:hAnsiTheme="minorHAnsi"/>
          <w:b/>
          <w:noProof/>
          <w:sz w:val="20"/>
          <w:szCs w:val="20"/>
        </w:rPr>
      </w:pPr>
    </w:p>
    <w:p w:rsidR="002737C2" w:rsidRPr="008D5ADB" w:rsidRDefault="002737C2" w:rsidP="00DC111C">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2737C2" w:rsidRPr="008D5ADB" w:rsidRDefault="00655A47" w:rsidP="002737C2">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 xml:space="preserve">La concurs nu au existat cererile semnatarilor </w:t>
      </w:r>
      <w:r w:rsidR="00B8379E">
        <w:rPr>
          <w:rFonts w:asciiTheme="minorHAnsi" w:hAnsiTheme="minorHAnsi"/>
          <w:sz w:val="20"/>
          <w:szCs w:val="20"/>
        </w:rPr>
        <w:t>care nu au primit mijloace</w:t>
      </w:r>
      <w:r>
        <w:rPr>
          <w:rFonts w:asciiTheme="minorHAnsi" w:hAnsiTheme="minorHAnsi"/>
          <w:sz w:val="20"/>
          <w:szCs w:val="20"/>
        </w:rPr>
        <w:t>.</w:t>
      </w:r>
    </w:p>
    <w:p w:rsidR="002737C2" w:rsidRPr="008D5ADB"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Pr="008D5ADB"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707AD1" w:rsidRPr="008D5ADB" w:rsidRDefault="00707AD1" w:rsidP="002737C2">
      <w:pPr>
        <w:ind w:firstLine="708"/>
        <w:jc w:val="both"/>
        <w:rPr>
          <w:rFonts w:asciiTheme="minorHAnsi" w:hAnsiTheme="minorHAnsi" w:cstheme="minorHAnsi"/>
          <w:noProof/>
          <w:sz w:val="20"/>
          <w:szCs w:val="20"/>
          <w:lang w:val="sr-Cyrl-CS"/>
        </w:rPr>
      </w:pPr>
    </w:p>
    <w:p w:rsidR="002737C2" w:rsidRPr="008D5ADB" w:rsidRDefault="002737C2" w:rsidP="002737C2">
      <w:pPr>
        <w:jc w:val="center"/>
        <w:rPr>
          <w:rFonts w:asciiTheme="minorHAnsi" w:hAnsiTheme="minorHAnsi" w:cstheme="minorHAnsi"/>
          <w:b/>
          <w:noProof/>
          <w:sz w:val="20"/>
          <w:szCs w:val="20"/>
        </w:rPr>
      </w:pPr>
      <w:r>
        <w:rPr>
          <w:rFonts w:asciiTheme="minorHAnsi" w:hAnsiTheme="minorHAnsi"/>
          <w:b/>
          <w:sz w:val="20"/>
          <w:szCs w:val="20"/>
        </w:rPr>
        <w:t>Expunerea de motive:</w:t>
      </w:r>
    </w:p>
    <w:p w:rsidR="002737C2" w:rsidRPr="008D5ADB" w:rsidRDefault="002737C2" w:rsidP="002737C2">
      <w:pPr>
        <w:jc w:val="center"/>
        <w:rPr>
          <w:rFonts w:asciiTheme="minorHAnsi" w:hAnsiTheme="minorHAnsi" w:cstheme="minorHAnsi"/>
          <w:noProof/>
          <w:sz w:val="20"/>
          <w:szCs w:val="20"/>
          <w:lang w:val="sr-Cyrl-CS"/>
        </w:rPr>
      </w:pPr>
    </w:p>
    <w:p w:rsidR="00246F2A" w:rsidRPr="008D5ADB" w:rsidRDefault="00246F2A" w:rsidP="00246F2A">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articolul 11 </w:t>
      </w:r>
      <w:r>
        <w:rPr>
          <w:rFonts w:asciiTheme="minorHAnsi" w:hAnsiTheme="minorHAnsi"/>
          <w:sz w:val="20"/>
          <w:szCs w:val="20"/>
        </w:rPr>
        <w:t xml:space="preserve">din Hotărârea Adunării Provinciei privind repartizarea mijloacelor bugetare pentru avansarea statutului minorităţilor naţionale – comunităţilor naţionale şi dezvoltarea multiculturalismului şi toleranţei („Buletinul oficial al P.A.V.”, numărul: 8/19), articolului 13 din Regulamentul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("Buletinul oficial al P.A.V., </w:t>
      </w:r>
      <w:r>
        <w:rPr>
          <w:rFonts w:asciiTheme="minorHAnsi" w:hAnsiTheme="minorHAnsi"/>
          <w:sz w:val="20"/>
          <w:szCs w:val="20"/>
        </w:rPr>
        <w:lastRenderedPageBreak/>
        <w:t>numărul 7/23 și 5/24), este reglementată procedura de acordare a mijloacelor în urma finalizării concursului, competența comisiei de concurs, precum și că hotărârea privind acordarea mijloacelor o emite secretarul provincial, după expirarea termenului de prezentare a recursului asupra listei de evaluare și clasamentul cererilor.</w:t>
      </w:r>
    </w:p>
    <w:p w:rsidR="00246F2A" w:rsidRPr="008D5ADB" w:rsidRDefault="009121C0" w:rsidP="00246F2A">
      <w:pPr>
        <w:ind w:firstLine="708"/>
        <w:jc w:val="both"/>
        <w:rPr>
          <w:rFonts w:asciiTheme="minorHAnsi" w:hAnsiTheme="minorHAnsi" w:cstheme="minorHAnsi"/>
          <w:bCs/>
          <w:noProof/>
          <w:sz w:val="20"/>
          <w:szCs w:val="20"/>
        </w:rPr>
      </w:pPr>
      <w:r>
        <w:rPr>
          <w:rFonts w:asciiTheme="minorHAnsi" w:hAnsiTheme="minorHAnsi"/>
          <w:bCs/>
          <w:sz w:val="20"/>
          <w:szCs w:val="20"/>
        </w:rPr>
        <w:t>În conformitate cu reglementările menționate, Secretariatul Provincial pentru Educaţie, Reglementări, Administraţie şi Minorităţile Naţionale - Comunităţile Naţionale pe data de 08.04.2024 a publicat Concurs public pentru organizarea concursului regional „Cât de bine ne cunoaştem” – ediţia a XVI-a, sub numărul 001271312 2024 09427 005 001 000 001.</w:t>
      </w:r>
    </w:p>
    <w:p w:rsidR="005503F4" w:rsidRPr="00B8379E" w:rsidRDefault="002737C2" w:rsidP="008C2856">
      <w:pPr>
        <w:ind w:firstLine="708"/>
        <w:jc w:val="both"/>
        <w:rPr>
          <w:rFonts w:asciiTheme="minorHAnsi" w:hAnsiTheme="minorHAnsi" w:cstheme="minorHAnsi"/>
          <w:bCs/>
          <w:noProof/>
          <w:sz w:val="20"/>
          <w:szCs w:val="20"/>
        </w:rPr>
      </w:pPr>
      <w:r w:rsidRPr="00B8379E">
        <w:rPr>
          <w:rFonts w:asciiTheme="minorHAnsi" w:hAnsiTheme="minorHAnsi"/>
          <w:bCs/>
          <w:sz w:val="20"/>
          <w:szCs w:val="20"/>
        </w:rPr>
        <w:t>Comisia de concurs pentru desfășurarea procedurii de acordarea mijloacelor bugetare a fost înființată prin decizia numărul 001271312 2024 09427 005 001 000 001, la 23.04.2024.</w:t>
      </w:r>
    </w:p>
    <w:p w:rsidR="005503F4" w:rsidRPr="00B8379E" w:rsidRDefault="005503F4" w:rsidP="005503F4">
      <w:pPr>
        <w:ind w:firstLine="708"/>
        <w:jc w:val="both"/>
        <w:rPr>
          <w:rFonts w:asciiTheme="minorHAnsi" w:hAnsiTheme="minorHAnsi" w:cstheme="minorHAnsi"/>
          <w:bCs/>
          <w:noProof/>
          <w:sz w:val="20"/>
          <w:szCs w:val="20"/>
        </w:rPr>
      </w:pPr>
      <w:r w:rsidRPr="00B8379E">
        <w:rPr>
          <w:rFonts w:asciiTheme="minorHAnsi" w:hAnsiTheme="minorHAnsi"/>
          <w:bCs/>
          <w:sz w:val="20"/>
          <w:szCs w:val="20"/>
        </w:rPr>
        <w:t>În urma expirării termenului pentru prezentarea cererilor, Comisia de Concurs a procedat la examinarea cererilor sosite la concurs.</w:t>
      </w:r>
    </w:p>
    <w:p w:rsidR="006608FD" w:rsidRPr="008D5ADB" w:rsidRDefault="002737C2" w:rsidP="008C2856">
      <w:pPr>
        <w:ind w:firstLine="708"/>
        <w:jc w:val="both"/>
        <w:rPr>
          <w:rFonts w:asciiTheme="minorHAnsi" w:hAnsiTheme="minorHAnsi" w:cstheme="minorHAnsi"/>
          <w:bCs/>
          <w:noProof/>
          <w:sz w:val="20"/>
          <w:szCs w:val="20"/>
        </w:rPr>
      </w:pPr>
      <w:r>
        <w:rPr>
          <w:rFonts w:asciiTheme="minorHAnsi" w:hAnsiTheme="minorHAnsi"/>
          <w:bCs/>
          <w:sz w:val="20"/>
          <w:szCs w:val="20"/>
        </w:rPr>
        <w:t xml:space="preserve"> Comisia de Concurs a constatat că la concurs nu au sosite cererile incomplete sau incorect completate, respectiv în care nu au fost completate câmpurile obligatorii, precum nici cererile fără semnătură și sigiliu, sosite după termenul prevăzut și inadmisibile.</w:t>
      </w:r>
    </w:p>
    <w:p w:rsidR="009121C0" w:rsidRPr="008D5ADB" w:rsidRDefault="006608FD" w:rsidP="006608FD">
      <w:pPr>
        <w:ind w:firstLine="708"/>
        <w:jc w:val="both"/>
        <w:rPr>
          <w:rFonts w:asciiTheme="minorHAnsi" w:hAnsiTheme="minorHAnsi" w:cstheme="minorHAnsi"/>
          <w:bCs/>
          <w:noProof/>
          <w:sz w:val="20"/>
          <w:szCs w:val="20"/>
        </w:rPr>
      </w:pPr>
      <w:r>
        <w:rPr>
          <w:rFonts w:asciiTheme="minorHAnsi" w:hAnsiTheme="minorHAnsi"/>
          <w:bCs/>
          <w:sz w:val="20"/>
          <w:szCs w:val="20"/>
        </w:rPr>
        <w:t xml:space="preserve">Comisia de Concurs în urma examinării și evaluării cererilor la concursul menționat, a stabilit lista evaluării, punctele și clasamentul cererilor care a fost publicată pe pagina oficială internet a Secretariatului Provincial 23.04.2024. </w:t>
      </w:r>
    </w:p>
    <w:p w:rsidR="00785594" w:rsidRPr="008D5ADB" w:rsidRDefault="005F1201" w:rsidP="009121C0">
      <w:pPr>
        <w:ind w:firstLine="708"/>
        <w:jc w:val="both"/>
        <w:rPr>
          <w:rFonts w:asciiTheme="minorHAnsi" w:hAnsiTheme="minorHAnsi" w:cstheme="minorHAnsi"/>
          <w:bCs/>
          <w:noProof/>
          <w:sz w:val="20"/>
          <w:szCs w:val="20"/>
        </w:rPr>
      </w:pPr>
      <w:r>
        <w:rPr>
          <w:rFonts w:asciiTheme="minorHAnsi" w:hAnsiTheme="minorHAnsi"/>
          <w:bCs/>
          <w:sz w:val="20"/>
          <w:szCs w:val="20"/>
        </w:rPr>
        <w:t>În urma publicării listei de evaluare, în termenul de depunere a contestației, Secretariatului nu au fost prezentate contestațiile la lista evaluării, puncte și clasament.</w:t>
      </w:r>
    </w:p>
    <w:p w:rsidR="00785594" w:rsidRPr="008D5ADB" w:rsidRDefault="005F1201" w:rsidP="005F1201">
      <w:pPr>
        <w:ind w:firstLine="708"/>
        <w:jc w:val="both"/>
        <w:rPr>
          <w:rFonts w:asciiTheme="minorHAnsi" w:hAnsiTheme="minorHAnsi" w:cstheme="minorHAnsi"/>
          <w:bCs/>
          <w:noProof/>
          <w:sz w:val="20"/>
          <w:szCs w:val="20"/>
        </w:rPr>
      </w:pPr>
      <w:r>
        <w:rPr>
          <w:rFonts w:asciiTheme="minorHAnsi" w:hAnsiTheme="minorHAnsi"/>
          <w:bCs/>
          <w:sz w:val="20"/>
          <w:szCs w:val="20"/>
        </w:rPr>
        <w:t>În urma termenului de prezentare și soluționare conform contestațiilor, s-au întrunit condițiile pentru adoptarea hotărârii privind acordarea mijloacelor.</w:t>
      </w:r>
      <w:r>
        <w:rPr>
          <w:rFonts w:asciiTheme="minorHAnsi" w:hAnsiTheme="minorHAnsi"/>
          <w:sz w:val="20"/>
          <w:szCs w:val="20"/>
        </w:rPr>
        <w:t xml:space="preserve"> </w:t>
      </w:r>
    </w:p>
    <w:p w:rsidR="00785594" w:rsidRPr="008D5ADB" w:rsidRDefault="009121C0" w:rsidP="005F1201">
      <w:pPr>
        <w:ind w:firstLine="708"/>
        <w:jc w:val="both"/>
        <w:rPr>
          <w:rFonts w:asciiTheme="minorHAnsi" w:hAnsiTheme="minorHAnsi" w:cstheme="minorHAnsi"/>
          <w:noProof/>
          <w:sz w:val="20"/>
          <w:szCs w:val="20"/>
        </w:rPr>
      </w:pPr>
      <w:r>
        <w:rPr>
          <w:rFonts w:asciiTheme="minorHAnsi" w:hAnsiTheme="minorHAnsi"/>
          <w:sz w:val="20"/>
          <w:szCs w:val="20"/>
        </w:rPr>
        <w:t>După procedura definitivă pentru acordarea mijloacelor, aplicând reglementările menționate, secretarul provincial a emis decizia privind repartizarea mijloacelor bugetare conform concursului public pentru organizarea concursului regional „Cât de bine ne cunoaştem” – ediţia a XVI-a În prezenta decizie au fost menționați semnatarii cererilor cărora mijloacele le-au fost aprobate. La concursul menționat nu au existat cererile conform cărora nu au fost repartizate mijloace.</w:t>
      </w:r>
    </w:p>
    <w:p w:rsidR="002737C2" w:rsidRPr="00B8379E" w:rsidRDefault="002737C2" w:rsidP="002737C2">
      <w:pPr>
        <w:ind w:firstLine="708"/>
        <w:jc w:val="both"/>
        <w:rPr>
          <w:rFonts w:asciiTheme="minorHAnsi" w:hAnsiTheme="minorHAnsi" w:cstheme="minorHAnsi"/>
          <w:bCs/>
          <w:noProof/>
          <w:sz w:val="20"/>
          <w:szCs w:val="20"/>
        </w:rPr>
      </w:pPr>
      <w:r w:rsidRPr="00B8379E">
        <w:rPr>
          <w:rFonts w:asciiTheme="minorHAnsi" w:hAnsiTheme="minorHAnsi" w:cstheme="minorHAnsi"/>
          <w:sz w:val="20"/>
          <w:szCs w:val="20"/>
        </w:rPr>
        <w:t>În conformitate cu cele menționate, prin autorizația sa pentru decidere cuprinsă prin articolele 15 și 16 alineatul 5</w:t>
      </w:r>
      <w:r w:rsidRPr="00B8379E">
        <w:rPr>
          <w:rFonts w:asciiTheme="minorHAnsi" w:hAnsiTheme="minorHAnsi" w:cstheme="minorHAnsi"/>
          <w:bCs/>
          <w:sz w:val="20"/>
          <w:szCs w:val="20"/>
        </w:rPr>
        <w:t xml:space="preserve"> din Hotărârea Adunării Provinciei privind administrația provincială, a fost adoptată decizia ca în dispozitiv.</w:t>
      </w:r>
    </w:p>
    <w:p w:rsidR="0038748D" w:rsidRPr="00B8379E" w:rsidRDefault="0038748D" w:rsidP="002737C2">
      <w:pPr>
        <w:ind w:firstLine="708"/>
        <w:jc w:val="both"/>
        <w:rPr>
          <w:rFonts w:asciiTheme="minorHAnsi" w:hAnsiTheme="minorHAnsi" w:cstheme="minorHAnsi"/>
          <w:noProof/>
          <w:sz w:val="20"/>
          <w:szCs w:val="20"/>
          <w:lang w:val="sr-Cyrl-CS"/>
        </w:rPr>
      </w:pPr>
    </w:p>
    <w:p w:rsidR="002737C2" w:rsidRPr="00B8379E" w:rsidRDefault="005F1201" w:rsidP="002737C2">
      <w:pPr>
        <w:ind w:firstLine="708"/>
        <w:jc w:val="both"/>
        <w:rPr>
          <w:rFonts w:asciiTheme="minorHAnsi" w:hAnsiTheme="minorHAnsi" w:cstheme="minorHAnsi"/>
          <w:noProof/>
          <w:sz w:val="20"/>
          <w:szCs w:val="20"/>
        </w:rPr>
      </w:pPr>
      <w:r w:rsidRPr="00B8379E">
        <w:rPr>
          <w:rFonts w:asciiTheme="minorHAnsi" w:hAnsiTheme="minorHAnsi" w:cstheme="minorHAnsi"/>
          <w:sz w:val="20"/>
          <w:szCs w:val="20"/>
        </w:rPr>
        <w:t>Prezenta decizie este definitivă și va fi publicată pe pagina oficială de internet a Secretariatului Provincial.</w:t>
      </w:r>
    </w:p>
    <w:p w:rsidR="0038748D" w:rsidRPr="00B8379E" w:rsidRDefault="0038748D" w:rsidP="002737C2">
      <w:pPr>
        <w:ind w:firstLine="708"/>
        <w:jc w:val="both"/>
        <w:rPr>
          <w:rFonts w:asciiTheme="minorHAnsi" w:hAnsiTheme="minorHAnsi" w:cstheme="minorHAnsi"/>
          <w:noProof/>
          <w:sz w:val="20"/>
          <w:szCs w:val="20"/>
          <w:lang w:val="sr-Cyrl-RS"/>
        </w:rPr>
      </w:pPr>
    </w:p>
    <w:p w:rsidR="00B05BD2" w:rsidRPr="008D5ADB" w:rsidRDefault="00B05BD2" w:rsidP="002737C2">
      <w:pPr>
        <w:ind w:firstLine="708"/>
        <w:jc w:val="both"/>
        <w:rPr>
          <w:rFonts w:asciiTheme="minorHAnsi" w:hAnsiTheme="minorHAnsi" w:cstheme="minorHAnsi"/>
          <w:noProof/>
          <w:sz w:val="20"/>
          <w:szCs w:val="20"/>
          <w:lang w:val="sr-Cyrl-RS"/>
        </w:rPr>
      </w:pPr>
    </w:p>
    <w:p w:rsidR="0038748D" w:rsidRPr="008D5ADB" w:rsidRDefault="0038748D"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8D5ADB" w:rsidRPr="008D5ADB" w:rsidTr="00C10B2E">
        <w:tc>
          <w:tcPr>
            <w:tcW w:w="3176" w:type="dxa"/>
            <w:shd w:val="clear" w:color="auto" w:fill="auto"/>
          </w:tcPr>
          <w:p w:rsidR="002737C2" w:rsidRPr="008D5ADB"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8D5ADB" w:rsidRPr="008D5ADB" w:rsidTr="00C10B2E">
        <w:tc>
          <w:tcPr>
            <w:tcW w:w="3176" w:type="dxa"/>
            <w:shd w:val="clear" w:color="auto" w:fill="auto"/>
          </w:tcPr>
          <w:p w:rsidR="002737C2" w:rsidRPr="008D5ADB" w:rsidRDefault="002737C2" w:rsidP="0038748D">
            <w:pPr>
              <w:jc w:val="center"/>
              <w:rPr>
                <w:rFonts w:asciiTheme="minorHAnsi" w:hAnsiTheme="minorHAnsi" w:cstheme="minorHAnsi"/>
                <w:sz w:val="20"/>
                <w:szCs w:val="20"/>
                <w:lang w:val="sr-Latn-RS"/>
              </w:rPr>
            </w:pPr>
          </w:p>
          <w:p w:rsidR="00980020" w:rsidRPr="00980020" w:rsidRDefault="00980020" w:rsidP="00980020">
            <w:pPr>
              <w:jc w:val="center"/>
              <w:rPr>
                <w:rFonts w:asciiTheme="minorHAnsi" w:hAnsiTheme="minorHAnsi"/>
                <w:sz w:val="20"/>
                <w:szCs w:val="20"/>
                <w:lang w:val="hu-HU"/>
              </w:rPr>
            </w:pPr>
            <w:r w:rsidRPr="00980020">
              <w:rPr>
                <w:rFonts w:asciiTheme="minorHAnsi" w:hAnsiTheme="minorHAnsi"/>
                <w:sz w:val="20"/>
                <w:szCs w:val="20"/>
                <w:lang w:val="hu-HU"/>
              </w:rPr>
              <w:t>Ótott Róbert</w:t>
            </w:r>
          </w:p>
          <w:p w:rsidR="002737C2" w:rsidRPr="008D5ADB" w:rsidRDefault="002737C2" w:rsidP="00980020">
            <w:pPr>
              <w:rPr>
                <w:rFonts w:asciiTheme="minorHAnsi" w:hAnsiTheme="minorHAnsi" w:cstheme="minorHAnsi"/>
                <w:sz w:val="20"/>
                <w:szCs w:val="20"/>
              </w:rPr>
            </w:pPr>
            <w:bookmarkStart w:id="0" w:name="_GoBack"/>
            <w:bookmarkEnd w:id="0"/>
          </w:p>
        </w:tc>
      </w:tr>
      <w:tr w:rsidR="002737C2" w:rsidRPr="008D5ADB" w:rsidTr="00C10B2E">
        <w:tc>
          <w:tcPr>
            <w:tcW w:w="3176" w:type="dxa"/>
            <w:shd w:val="clear" w:color="auto" w:fill="auto"/>
          </w:tcPr>
          <w:p w:rsidR="002737C2" w:rsidRPr="008D5ADB" w:rsidRDefault="002737C2" w:rsidP="0038748D">
            <w:pPr>
              <w:jc w:val="center"/>
              <w:rPr>
                <w:rFonts w:asciiTheme="minorHAnsi" w:hAnsiTheme="minorHAnsi" w:cstheme="minorHAnsi"/>
                <w:sz w:val="20"/>
                <w:szCs w:val="20"/>
              </w:rPr>
            </w:pPr>
          </w:p>
        </w:tc>
      </w:tr>
    </w:tbl>
    <w:p w:rsidR="00F870FF" w:rsidRPr="008D5ADB" w:rsidRDefault="00F870FF" w:rsidP="00D0326D">
      <w:pPr>
        <w:tabs>
          <w:tab w:val="center" w:pos="7088"/>
        </w:tabs>
        <w:jc w:val="both"/>
        <w:rPr>
          <w:rFonts w:ascii="Calibri" w:hAnsi="Calibri"/>
          <w:sz w:val="20"/>
          <w:szCs w:val="20"/>
          <w:lang w:val="sr-Cyrl-RS"/>
        </w:rPr>
      </w:pPr>
    </w:p>
    <w:sectPr w:rsidR="00F870FF" w:rsidRPr="008D5ADB"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3CD"/>
    <w:rsid w:val="000D1A62"/>
    <w:rsid w:val="000E08B8"/>
    <w:rsid w:val="000F0FCA"/>
    <w:rsid w:val="000F16A1"/>
    <w:rsid w:val="000F6E2B"/>
    <w:rsid w:val="00100204"/>
    <w:rsid w:val="0010789A"/>
    <w:rsid w:val="00111510"/>
    <w:rsid w:val="00170FB1"/>
    <w:rsid w:val="00171206"/>
    <w:rsid w:val="00193F92"/>
    <w:rsid w:val="001B481F"/>
    <w:rsid w:val="001C10E4"/>
    <w:rsid w:val="001E0F0E"/>
    <w:rsid w:val="001E2518"/>
    <w:rsid w:val="001F3988"/>
    <w:rsid w:val="002036F0"/>
    <w:rsid w:val="002272CD"/>
    <w:rsid w:val="00235B52"/>
    <w:rsid w:val="00236E33"/>
    <w:rsid w:val="00246F2A"/>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E4A83"/>
    <w:rsid w:val="003F3391"/>
    <w:rsid w:val="003F6CD8"/>
    <w:rsid w:val="0041529B"/>
    <w:rsid w:val="00431E35"/>
    <w:rsid w:val="00457D9A"/>
    <w:rsid w:val="00466F11"/>
    <w:rsid w:val="00473029"/>
    <w:rsid w:val="00483268"/>
    <w:rsid w:val="004C2E93"/>
    <w:rsid w:val="004C487B"/>
    <w:rsid w:val="004D281B"/>
    <w:rsid w:val="004F200D"/>
    <w:rsid w:val="00502103"/>
    <w:rsid w:val="00517438"/>
    <w:rsid w:val="005175D5"/>
    <w:rsid w:val="0053255A"/>
    <w:rsid w:val="00540F21"/>
    <w:rsid w:val="0054148B"/>
    <w:rsid w:val="00543D7B"/>
    <w:rsid w:val="0055036E"/>
    <w:rsid w:val="005503F4"/>
    <w:rsid w:val="0056396F"/>
    <w:rsid w:val="00566487"/>
    <w:rsid w:val="0057715C"/>
    <w:rsid w:val="00577A79"/>
    <w:rsid w:val="00577AF4"/>
    <w:rsid w:val="00594C72"/>
    <w:rsid w:val="00595516"/>
    <w:rsid w:val="005A5D1C"/>
    <w:rsid w:val="005B0763"/>
    <w:rsid w:val="005B20FA"/>
    <w:rsid w:val="005B6D5B"/>
    <w:rsid w:val="005E4003"/>
    <w:rsid w:val="005E6A1F"/>
    <w:rsid w:val="005F1201"/>
    <w:rsid w:val="00600A3D"/>
    <w:rsid w:val="006050B9"/>
    <w:rsid w:val="006202B4"/>
    <w:rsid w:val="006405F9"/>
    <w:rsid w:val="00655A47"/>
    <w:rsid w:val="006608FD"/>
    <w:rsid w:val="00696613"/>
    <w:rsid w:val="006A0F02"/>
    <w:rsid w:val="006C125E"/>
    <w:rsid w:val="006D4672"/>
    <w:rsid w:val="006E202C"/>
    <w:rsid w:val="006F0B65"/>
    <w:rsid w:val="00701FBF"/>
    <w:rsid w:val="00707AD1"/>
    <w:rsid w:val="0073191C"/>
    <w:rsid w:val="00785594"/>
    <w:rsid w:val="00791F4B"/>
    <w:rsid w:val="007A1AF6"/>
    <w:rsid w:val="007D6CF8"/>
    <w:rsid w:val="007E223F"/>
    <w:rsid w:val="00814F58"/>
    <w:rsid w:val="00853ADD"/>
    <w:rsid w:val="0085745D"/>
    <w:rsid w:val="008627DA"/>
    <w:rsid w:val="00866195"/>
    <w:rsid w:val="0088361D"/>
    <w:rsid w:val="008C2856"/>
    <w:rsid w:val="008C424C"/>
    <w:rsid w:val="008C6BA4"/>
    <w:rsid w:val="008D1BF1"/>
    <w:rsid w:val="008D5ADB"/>
    <w:rsid w:val="009121C0"/>
    <w:rsid w:val="00925AE1"/>
    <w:rsid w:val="00947058"/>
    <w:rsid w:val="00951D19"/>
    <w:rsid w:val="00955490"/>
    <w:rsid w:val="00980020"/>
    <w:rsid w:val="00981301"/>
    <w:rsid w:val="0099098A"/>
    <w:rsid w:val="009B1489"/>
    <w:rsid w:val="009B1AD2"/>
    <w:rsid w:val="009D20A0"/>
    <w:rsid w:val="009D3CB2"/>
    <w:rsid w:val="009E5B71"/>
    <w:rsid w:val="00A47415"/>
    <w:rsid w:val="00A90116"/>
    <w:rsid w:val="00A9757C"/>
    <w:rsid w:val="00AC6349"/>
    <w:rsid w:val="00AC76CC"/>
    <w:rsid w:val="00AD36DB"/>
    <w:rsid w:val="00B05BD2"/>
    <w:rsid w:val="00B24CC2"/>
    <w:rsid w:val="00B27C61"/>
    <w:rsid w:val="00B40C38"/>
    <w:rsid w:val="00B44DC9"/>
    <w:rsid w:val="00B50296"/>
    <w:rsid w:val="00B56150"/>
    <w:rsid w:val="00B56AE4"/>
    <w:rsid w:val="00B73BF5"/>
    <w:rsid w:val="00B81707"/>
    <w:rsid w:val="00B8379E"/>
    <w:rsid w:val="00BB265B"/>
    <w:rsid w:val="00BB7FB7"/>
    <w:rsid w:val="00BC5505"/>
    <w:rsid w:val="00BE61DE"/>
    <w:rsid w:val="00BF1309"/>
    <w:rsid w:val="00BF5D56"/>
    <w:rsid w:val="00C10B2E"/>
    <w:rsid w:val="00C3606B"/>
    <w:rsid w:val="00C42F6B"/>
    <w:rsid w:val="00C51D82"/>
    <w:rsid w:val="00C74DB8"/>
    <w:rsid w:val="00C87B97"/>
    <w:rsid w:val="00CA37A0"/>
    <w:rsid w:val="00CC569A"/>
    <w:rsid w:val="00CF1192"/>
    <w:rsid w:val="00D0326D"/>
    <w:rsid w:val="00D118A7"/>
    <w:rsid w:val="00D23F14"/>
    <w:rsid w:val="00D37EBE"/>
    <w:rsid w:val="00D74EDC"/>
    <w:rsid w:val="00D77669"/>
    <w:rsid w:val="00D87FA1"/>
    <w:rsid w:val="00D95CC8"/>
    <w:rsid w:val="00DC111C"/>
    <w:rsid w:val="00DE14F4"/>
    <w:rsid w:val="00E0051A"/>
    <w:rsid w:val="00E11C89"/>
    <w:rsid w:val="00E62E02"/>
    <w:rsid w:val="00ED385D"/>
    <w:rsid w:val="00ED7D0E"/>
    <w:rsid w:val="00F062D9"/>
    <w:rsid w:val="00F23D64"/>
    <w:rsid w:val="00F36FE4"/>
    <w:rsid w:val="00F64F96"/>
    <w:rsid w:val="00F75D16"/>
    <w:rsid w:val="00F870FF"/>
    <w:rsid w:val="00F91E40"/>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584C"/>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C10B2E"/>
    <w:pPr>
      <w:spacing w:before="100" w:beforeAutospacing="1" w:after="100" w:afterAutospacing="1"/>
    </w:pPr>
    <w:rPr>
      <w:rFonts w:ascii="Times New Roman" w:hAnsi="Times New Roman"/>
      <w:lang w:eastAsia="sr-Latn-RS"/>
    </w:rPr>
  </w:style>
  <w:style w:type="paragraph" w:customStyle="1" w:styleId="xl85">
    <w:name w:val="xl85"/>
    <w:basedOn w:val="Normal"/>
    <w:rsid w:val="00C10B2E"/>
    <w:pPr>
      <w:spacing w:before="100" w:beforeAutospacing="1" w:after="100" w:afterAutospacing="1"/>
    </w:pPr>
    <w:rPr>
      <w:rFonts w:ascii="Arial" w:hAnsi="Arial" w:cs="Arial"/>
      <w:lang w:eastAsia="sr-Latn-RS"/>
    </w:rPr>
  </w:style>
  <w:style w:type="paragraph" w:customStyle="1" w:styleId="xl86">
    <w:name w:val="xl86"/>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7">
    <w:name w:val="xl87"/>
    <w:basedOn w:val="Normal"/>
    <w:rsid w:val="00C10B2E"/>
    <w:pPr>
      <w:spacing w:before="100" w:beforeAutospacing="1" w:after="100" w:afterAutospacing="1"/>
      <w:jc w:val="center"/>
    </w:pPr>
    <w:rPr>
      <w:rFonts w:ascii="Times New Roman" w:hAnsi="Times New Roman"/>
      <w:lang w:eastAsia="sr-Latn-RS"/>
    </w:rPr>
  </w:style>
  <w:style w:type="paragraph" w:customStyle="1" w:styleId="xl88">
    <w:name w:val="xl88"/>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u w:val="single"/>
      <w:lang w:eastAsia="sr-Latn-RS"/>
    </w:rPr>
  </w:style>
  <w:style w:type="paragraph" w:customStyle="1" w:styleId="xl89">
    <w:name w:val="xl89"/>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50"/>
      <w:lang w:eastAsia="sr-Latn-RS"/>
    </w:rPr>
  </w:style>
  <w:style w:type="paragraph" w:customStyle="1" w:styleId="xl90">
    <w:name w:val="xl90"/>
    <w:basedOn w:val="Normal"/>
    <w:rsid w:val="00C10B2E"/>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b/>
      <w:bCs/>
      <w:color w:val="000000"/>
      <w:lang w:eastAsia="sr-Latn-RS"/>
    </w:rPr>
  </w:style>
  <w:style w:type="paragraph" w:customStyle="1" w:styleId="xl91">
    <w:name w:val="xl91"/>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65078102">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22601042">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744644304">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891382883">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9CFA-810C-4E30-A218-5D1ACBC8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Bojan Greguric</cp:lastModifiedBy>
  <cp:revision>5</cp:revision>
  <cp:lastPrinted>2023-05-22T08:57:00Z</cp:lastPrinted>
  <dcterms:created xsi:type="dcterms:W3CDTF">2024-05-07T09:20:00Z</dcterms:created>
  <dcterms:modified xsi:type="dcterms:W3CDTF">2024-05-09T07:13:00Z</dcterms:modified>
</cp:coreProperties>
</file>