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FEB" w14:textId="77777777" w:rsidR="00EF5613" w:rsidRPr="00233819" w:rsidRDefault="00EF5613" w:rsidP="003852E9">
      <w:pPr>
        <w:spacing w:before="120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60"/>
        <w:gridCol w:w="2919"/>
        <w:gridCol w:w="1276"/>
      </w:tblGrid>
      <w:tr w:rsidR="00EF5613" w:rsidRPr="00233819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233819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819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233819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819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14:paraId="6560EB02" w14:textId="77777777" w:rsidR="00EF5613" w:rsidRPr="00233819" w:rsidRDefault="00EF5613" w:rsidP="0058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819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14:paraId="52248890" w14:textId="77777777" w:rsidR="00EF5613" w:rsidRPr="00233819" w:rsidRDefault="00EF5613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819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14:paraId="5E97D82C" w14:textId="77777777" w:rsidR="00EF5613" w:rsidRPr="00233819" w:rsidRDefault="00EF5613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819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14:paraId="024D045A" w14:textId="77777777" w:rsidR="00EF5613" w:rsidRPr="00233819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819">
              <w:rPr>
                <w:rFonts w:asciiTheme="minorHAnsi" w:hAnsiTheme="minorHAnsi" w:cstheme="minorHAnsi"/>
                <w:sz w:val="22"/>
                <w:szCs w:val="22"/>
              </w:rPr>
              <w:t>Bulvár Mihajla Pupina 16, 21 000 Nový Sad</w:t>
            </w:r>
          </w:p>
          <w:p w14:paraId="5FACA78B" w14:textId="77777777" w:rsidR="00EF5613" w:rsidRPr="00233819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819">
              <w:rPr>
                <w:rFonts w:asciiTheme="minorHAnsi" w:hAnsiTheme="minorHAnsi" w:cstheme="minorHAnsi"/>
                <w:sz w:val="22"/>
                <w:szCs w:val="22"/>
              </w:rPr>
              <w:t>T: +381 21  487  46 02</w:t>
            </w:r>
          </w:p>
          <w:p w14:paraId="7DA457D6" w14:textId="77777777" w:rsidR="00EF5613" w:rsidRPr="00233819" w:rsidRDefault="001E7510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10116E" w:rsidRPr="00233819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24CAA381" w14:textId="77777777" w:rsidR="00EF5613" w:rsidRPr="00233819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EF5613" w:rsidRPr="00233819" w14:paraId="560C3B52" w14:textId="77777777" w:rsidTr="000A3A1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233819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2"/>
          </w:tcPr>
          <w:p w14:paraId="176C9CAC" w14:textId="514F7365" w:rsidR="00EF5613" w:rsidRPr="003852E9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852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ČÍSLO: 000140168 2024 09427 001 001 000 001</w:t>
            </w:r>
          </w:p>
          <w:p w14:paraId="3CC32DFA" w14:textId="77777777" w:rsidR="00EF5613" w:rsidRPr="003852E9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26C7B234" w14:textId="1E1D316B" w:rsidR="00EF5613" w:rsidRPr="003852E9" w:rsidRDefault="00EF5613" w:rsidP="006C63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3852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DÁTUM: 18</w:t>
            </w:r>
            <w:r w:rsidRPr="003852E9">
              <w:rPr>
                <w:rFonts w:asciiTheme="minorHAnsi" w:hAnsiTheme="minorHAnsi" w:cstheme="minorHAnsi"/>
                <w:sz w:val="18"/>
                <w:szCs w:val="18"/>
              </w:rPr>
              <w:t>. 03.</w:t>
            </w:r>
            <w:r w:rsidRPr="003852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2024</w:t>
            </w:r>
          </w:p>
        </w:tc>
      </w:tr>
    </w:tbl>
    <w:p w14:paraId="2E4CAF1A" w14:textId="77777777" w:rsidR="009C6A1C" w:rsidRPr="00233819" w:rsidRDefault="009C6A1C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14:paraId="4EE64B04" w14:textId="4F44F5C2" w:rsidR="00EF5613" w:rsidRPr="00233819" w:rsidRDefault="00EF5613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        Podľa čl. 16 odsek 5 a 24 odsek 2 Pokrajinského parlamentného uznesenia o pokrajinskej správe (Úradný vestník APV č. 37/14, 54/14 – iné uznesenie, 37/16, 29/17, 24/19, 66/20 a 38/21), článku 8 Pokrajinského parlamentného uznesenia o prideľovaní rozpočtových prostriedkov na financovanie a spolufinancovanie programových aktivít </w:t>
      </w:r>
      <w:r w:rsidR="00600597">
        <w:rPr>
          <w:rFonts w:asciiTheme="minorHAnsi" w:hAnsiTheme="minorHAnsi" w:cstheme="minorHAnsi"/>
          <w:color w:val="000000"/>
          <w:sz w:val="22"/>
          <w:szCs w:val="22"/>
        </w:rPr>
        <w:t>a projektov v oblasti základného a stredného vzdelávania</w:t>
      </w: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a žiackeho štandardu v Autonómnej pokrajine Vojvod</w:t>
      </w:r>
      <w:r w:rsidR="00600597">
        <w:rPr>
          <w:rFonts w:asciiTheme="minorHAnsi" w:hAnsiTheme="minorHAnsi" w:cstheme="minorHAnsi"/>
          <w:color w:val="000000"/>
          <w:sz w:val="22"/>
          <w:szCs w:val="22"/>
        </w:rPr>
        <w:t>ine (Úradný vestník APV č. 14/2015</w:t>
      </w: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a 10/17) a článku 8 Pravidiel o rozvrhnutí rozpočtových prostriedkov Pokrajinského sekretariátu vzdelávania, predpisov, správy a národnostných menšín – národnostných spoločenstiev na financovanie a spolufina</w:t>
      </w:r>
      <w:r w:rsidR="00600597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233819">
        <w:rPr>
          <w:rFonts w:asciiTheme="minorHAnsi" w:hAnsiTheme="minorHAnsi" w:cstheme="minorHAnsi"/>
          <w:color w:val="000000"/>
          <w:sz w:val="22"/>
          <w:szCs w:val="22"/>
        </w:rPr>
        <w:t>covanie programových aktivít a projektov na zvýšenie kvality žiackeho štandardu v Autonómnej pokrajine Vojvodine (Úradný vestník APV č.</w:t>
      </w:r>
      <w:r w:rsidR="00600597">
        <w:rPr>
          <w:rFonts w:asciiTheme="minorHAnsi" w:hAnsiTheme="minorHAnsi" w:cstheme="minorHAnsi"/>
          <w:color w:val="000000"/>
          <w:sz w:val="22"/>
          <w:szCs w:val="22"/>
        </w:rPr>
        <w:t xml:space="preserve"> 7/23 a 5/24</w:t>
      </w:r>
      <w:r w:rsidRPr="00233819">
        <w:rPr>
          <w:rFonts w:asciiTheme="minorHAnsi" w:hAnsiTheme="minorHAnsi" w:cstheme="minorHAnsi"/>
          <w:color w:val="000000"/>
          <w:sz w:val="22"/>
          <w:szCs w:val="22"/>
        </w:rPr>
        <w:t>) a podľa realizovaného Súbehu na financovanie a spolufinancovanie programov a projektov v oblasti vzdelávania v AP Vojvodine v roku 2024 – financovanie a spolufinancovanie programov</w:t>
      </w:r>
      <w:r w:rsidR="00671BBF">
        <w:rPr>
          <w:rFonts w:asciiTheme="minorHAnsi" w:hAnsiTheme="minorHAnsi" w:cstheme="minorHAnsi"/>
          <w:color w:val="000000"/>
          <w:sz w:val="22"/>
          <w:szCs w:val="22"/>
        </w:rPr>
        <w:t xml:space="preserve">ých aktivít a projektov na zvýšenie kvality žiackeho štandardu v AP Vojvodine v roku 2024 </w:t>
      </w:r>
      <w:r w:rsidRPr="00233819">
        <w:rPr>
          <w:rFonts w:asciiTheme="minorHAnsi" w:hAnsiTheme="minorHAnsi" w:cstheme="minorHAnsi"/>
          <w:color w:val="000000"/>
          <w:sz w:val="22"/>
          <w:szCs w:val="22"/>
        </w:rPr>
        <w:t>(Úradný vestník APV č. 7/24), pokrajinský tajomník vzdelávania, predpisov, správy a národnostných menšín – nár</w:t>
      </w:r>
      <w:r w:rsidR="00600597">
        <w:rPr>
          <w:rFonts w:asciiTheme="minorHAnsi" w:hAnsiTheme="minorHAnsi" w:cstheme="minorHAnsi"/>
          <w:color w:val="000000"/>
          <w:sz w:val="22"/>
          <w:szCs w:val="22"/>
        </w:rPr>
        <w:t>odnostných spoločenstiev vynáša</w:t>
      </w:r>
    </w:p>
    <w:p w14:paraId="5C33EDCB" w14:textId="77777777" w:rsidR="00BC3AB3" w:rsidRPr="00233819" w:rsidRDefault="00BC3AB3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14:paraId="4AFE0EEE" w14:textId="77777777" w:rsidR="00D266C8" w:rsidRPr="00233819" w:rsidRDefault="00EF5613" w:rsidP="00BD29CA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RO</w:t>
      </w:r>
      <w:r w:rsidR="00D266C8" w:rsidRPr="00233819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HODNUTIE </w:t>
      </w:r>
    </w:p>
    <w:p w14:paraId="62C3DD3F" w14:textId="4ABF2177" w:rsidR="00D266C8" w:rsidRPr="00233819" w:rsidRDefault="00EF5613" w:rsidP="00D266C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="00D266C8" w:rsidRPr="00233819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ROZVRHNUTÍ</w:t>
      </w:r>
      <w:r w:rsidR="00D266C8" w:rsidRPr="002338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D29CA" w:rsidRPr="002338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PROSTRIEDKOV NA FINANCOVANIE A SPOLUFINANCOVANIE PROGRAMOVÝCH AKTIVÍT </w:t>
      </w:r>
    </w:p>
    <w:p w14:paraId="6BE25420" w14:textId="77777777" w:rsidR="00D266C8" w:rsidRPr="00233819" w:rsidRDefault="00BD29CA" w:rsidP="00BD29CA">
      <w:pPr>
        <w:tabs>
          <w:tab w:val="left" w:pos="3420"/>
        </w:tabs>
        <w:ind w:right="-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PROJEKTOV NA ZVÝŠENIE KVALITY ŽIACKEHO ŠTANDARDU V AP VOJVODINE </w:t>
      </w:r>
    </w:p>
    <w:p w14:paraId="78274080" w14:textId="465C4149" w:rsidR="00EF5613" w:rsidRPr="00233819" w:rsidRDefault="00671BBF" w:rsidP="00671BBF">
      <w:pPr>
        <w:tabs>
          <w:tab w:val="left" w:pos="3420"/>
        </w:tabs>
        <w:ind w:right="-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BD29CA" w:rsidRPr="002338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 ROKU 2024 </w:t>
      </w:r>
    </w:p>
    <w:p w14:paraId="14E264AA" w14:textId="77777777" w:rsidR="00BD29CA" w:rsidRPr="00233819" w:rsidRDefault="00BD29CA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4C3C9277" w14:textId="77777777" w:rsidR="00EF5613" w:rsidRPr="00233819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4ACBCEB9" w14:textId="77777777" w:rsidR="00EF5613" w:rsidRPr="00233819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6356B068" w14:textId="63DF3C31" w:rsidR="00EF5613" w:rsidRPr="00233819" w:rsidRDefault="00BC3AB3" w:rsidP="009273A3">
      <w:pPr>
        <w:ind w:right="-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Pr="00233819">
        <w:rPr>
          <w:rFonts w:asciiTheme="minorHAnsi" w:hAnsiTheme="minorHAnsi" w:cstheme="minorHAnsi"/>
          <w:sz w:val="22"/>
          <w:szCs w:val="22"/>
        </w:rPr>
        <w:t>Týmto rozhodnutím sa ustáli rozvrhnutie rozpočtových prostriedkov Pokrajinského sekretariátu vzdelávania, predpisov, správy a národnostných menšín – nár</w:t>
      </w:r>
      <w:r w:rsidR="00671BBF">
        <w:rPr>
          <w:rFonts w:asciiTheme="minorHAnsi" w:hAnsiTheme="minorHAnsi" w:cstheme="minorHAnsi"/>
          <w:sz w:val="22"/>
          <w:szCs w:val="22"/>
        </w:rPr>
        <w:t>odnostných spoločenstiev podľa S</w:t>
      </w:r>
      <w:r w:rsidRPr="00233819">
        <w:rPr>
          <w:rFonts w:asciiTheme="minorHAnsi" w:hAnsiTheme="minorHAnsi" w:cstheme="minorHAnsi"/>
          <w:sz w:val="22"/>
          <w:szCs w:val="22"/>
        </w:rPr>
        <w:t xml:space="preserve">úbehu na financovanie a spolufinancovanie programov a projektov v oblasti vzdelávania </w:t>
      </w:r>
      <w:r w:rsidR="00671BBF">
        <w:rPr>
          <w:rFonts w:asciiTheme="minorHAnsi" w:hAnsiTheme="minorHAnsi" w:cstheme="minorHAnsi"/>
          <w:sz w:val="22"/>
          <w:szCs w:val="22"/>
        </w:rPr>
        <w:t xml:space="preserve">v AP Vojvodine v roku 2024 – </w:t>
      </w:r>
      <w:r w:rsidRPr="00233819">
        <w:rPr>
          <w:rFonts w:asciiTheme="minorHAnsi" w:hAnsiTheme="minorHAnsi" w:cstheme="minorHAnsi"/>
          <w:sz w:val="22"/>
          <w:szCs w:val="22"/>
        </w:rPr>
        <w:t>financovanie a</w:t>
      </w:r>
      <w:r w:rsidR="00671BBF">
        <w:rPr>
          <w:rFonts w:asciiTheme="minorHAnsi" w:hAnsiTheme="minorHAnsi" w:cstheme="minorHAnsi"/>
          <w:sz w:val="22"/>
          <w:szCs w:val="22"/>
        </w:rPr>
        <w:t> </w:t>
      </w:r>
      <w:r w:rsidRPr="00233819">
        <w:rPr>
          <w:rFonts w:asciiTheme="minorHAnsi" w:hAnsiTheme="minorHAnsi" w:cstheme="minorHAnsi"/>
          <w:sz w:val="22"/>
          <w:szCs w:val="22"/>
        </w:rPr>
        <w:t>spolufinancovanie</w:t>
      </w:r>
      <w:r w:rsidR="00671BBF">
        <w:rPr>
          <w:rFonts w:asciiTheme="minorHAnsi" w:hAnsiTheme="minorHAnsi" w:cstheme="minorHAnsi"/>
          <w:sz w:val="22"/>
          <w:szCs w:val="22"/>
        </w:rPr>
        <w:t xml:space="preserve"> programových aktivít</w:t>
      </w:r>
      <w:r w:rsidRPr="00233819">
        <w:rPr>
          <w:rFonts w:asciiTheme="minorHAnsi" w:hAnsiTheme="minorHAnsi" w:cstheme="minorHAnsi"/>
          <w:sz w:val="22"/>
          <w:szCs w:val="22"/>
        </w:rPr>
        <w:t xml:space="preserve"> a projektov na zvyšovanie kvality žiackeho štandardu v AP Vojvodine v roku 2024 (</w:t>
      </w:r>
      <w:r w:rsidR="00671BBF">
        <w:rPr>
          <w:rFonts w:asciiTheme="minorHAnsi" w:hAnsiTheme="minorHAnsi" w:cstheme="minorHAnsi"/>
          <w:sz w:val="22"/>
          <w:szCs w:val="22"/>
        </w:rPr>
        <w:t xml:space="preserve">Úradný vestník </w:t>
      </w:r>
      <w:r w:rsidRPr="00233819">
        <w:rPr>
          <w:rFonts w:asciiTheme="minorHAnsi" w:hAnsiTheme="minorHAnsi" w:cstheme="minorHAnsi"/>
          <w:sz w:val="22"/>
          <w:szCs w:val="22"/>
        </w:rPr>
        <w:t>APV č. 7/24 – ďalej:</w:t>
      </w: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súbeh).</w:t>
      </w:r>
    </w:p>
    <w:p w14:paraId="0ACB68CE" w14:textId="77777777" w:rsidR="00D266C8" w:rsidRPr="00233819" w:rsidRDefault="00D266C8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BA738E" w14:textId="64C23DD8" w:rsidR="00EF5613" w:rsidRPr="00233819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II.</w:t>
      </w:r>
    </w:p>
    <w:p w14:paraId="7EEFC608" w14:textId="77777777" w:rsidR="00EF5613" w:rsidRPr="00233819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4F8D0AA1" w14:textId="50E7F23A" w:rsidR="00EF5613" w:rsidRPr="00233819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Pr="00233819">
        <w:rPr>
          <w:rFonts w:asciiTheme="minorHAnsi" w:hAnsiTheme="minorHAnsi" w:cstheme="minorHAnsi"/>
          <w:sz w:val="22"/>
          <w:szCs w:val="22"/>
        </w:rPr>
        <w:t xml:space="preserve">Súbehom je </w:t>
      </w:r>
      <w:r w:rsidRPr="00671BBF">
        <w:rPr>
          <w:rFonts w:asciiTheme="minorHAnsi" w:hAnsiTheme="minorHAnsi" w:cstheme="minorHAnsi"/>
          <w:b/>
          <w:sz w:val="22"/>
          <w:szCs w:val="22"/>
        </w:rPr>
        <w:t>vyčlenených spolu 2 500 000,00 dinárov</w:t>
      </w:r>
      <w:r w:rsidRPr="00233819">
        <w:rPr>
          <w:rFonts w:asciiTheme="minorHAnsi" w:hAnsiTheme="minorHAnsi" w:cstheme="minorHAnsi"/>
          <w:sz w:val="22"/>
          <w:szCs w:val="22"/>
        </w:rPr>
        <w:t xml:space="preserve"> na účel z bodu I. tohto rozhodnutia. </w:t>
      </w:r>
    </w:p>
    <w:p w14:paraId="70DDA7B7" w14:textId="77777777" w:rsidR="00BF63A3" w:rsidRPr="00233819" w:rsidRDefault="00BF63A3" w:rsidP="00EF561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02780089" w14:textId="77777777" w:rsidR="00EF5613" w:rsidRPr="00233819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 w:rsidRPr="00233819">
        <w:rPr>
          <w:rFonts w:asciiTheme="minorHAnsi" w:hAnsiTheme="minorHAnsi" w:cstheme="minorHAnsi"/>
          <w:sz w:val="22"/>
          <w:szCs w:val="22"/>
        </w:rPr>
        <w:t xml:space="preserve">          Prostriedky sa schvaľujú ustanovizniam žiackeho štandardu na území AP Vojvodiny, ktorých zakladateľkou je Srbská republika a AP Vojvodina (ďalej: používatelia) na účely a v sumách uvedených v nasledujúcej tabuľke:</w:t>
      </w:r>
    </w:p>
    <w:p w14:paraId="2A7774E3" w14:textId="77777777" w:rsidR="003577F3" w:rsidRPr="00233819" w:rsidRDefault="003577F3" w:rsidP="003577F3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  <w:lang w:val="ru-RU"/>
        </w:rPr>
      </w:pPr>
    </w:p>
    <w:tbl>
      <w:tblPr>
        <w:tblW w:w="4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197"/>
        <w:gridCol w:w="1464"/>
        <w:gridCol w:w="2482"/>
        <w:gridCol w:w="1700"/>
      </w:tblGrid>
      <w:tr w:rsidR="003577F3" w:rsidRPr="00671BBF" w14:paraId="3FE6271D" w14:textId="77777777" w:rsidTr="003577F3">
        <w:trPr>
          <w:trHeight w:val="120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4DA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/>
              </w:rPr>
            </w:pPr>
          </w:p>
          <w:p w14:paraId="04E2F79D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Por. č.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0267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ustanovizne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E05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Obec/Mesto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CED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programu/projektu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4208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Navrhovaná suma</w:t>
            </w:r>
          </w:p>
        </w:tc>
      </w:tr>
      <w:tr w:rsidR="003577F3" w:rsidRPr="00233819" w14:paraId="67557B6B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743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3818DD3F" w14:textId="77777777" w:rsidR="00EB762D" w:rsidRDefault="003577F3" w:rsidP="003577F3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09344C08" w14:textId="77777777" w:rsidR="00EB762D" w:rsidRDefault="00EB762D" w:rsidP="003577F3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77F37" w14:textId="77777777" w:rsidR="00EB762D" w:rsidRDefault="00EB762D" w:rsidP="003577F3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16C7A" w14:textId="4B080818" w:rsidR="003577F3" w:rsidRPr="00671BBF" w:rsidRDefault="003577F3" w:rsidP="00EB762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4D6B56F7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29F428FC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0A90" w14:textId="2ECDA3F8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Ž</w:t>
            </w:r>
            <w:r w:rsidR="00D266C8" w:rsidRPr="00671BBF">
              <w:rPr>
                <w:rFonts w:asciiTheme="minorHAnsi" w:hAnsiTheme="minorHAnsi" w:cstheme="minorHAnsi"/>
                <w:sz w:val="22"/>
                <w:szCs w:val="22"/>
              </w:rPr>
              <w:t>iacky domov stredných škôl v Sr</w:t>
            </w: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emskej Mitrovici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6F0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Sremska Mitrovica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E9BF" w14:textId="02042FDC" w:rsidR="003577F3" w:rsidRPr="00671BBF" w:rsidRDefault="00671BBF" w:rsidP="00671BBF">
            <w:pPr>
              <w:spacing w:after="160" w:line="25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Kultúrno-umelecké stretnutie </w:t>
            </w:r>
            <w:r w:rsidR="003577F3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stredoškolských domovov čiže tzv. Domiáda na </w:t>
            </w:r>
            <w:r w:rsidR="004C14FA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</w:t>
            </w:r>
            <w:r w:rsidR="00D266C8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iackom domove</w:t>
            </w:r>
            <w:r w:rsidR="004C14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stredných škôl</w:t>
            </w:r>
            <w:r w:rsidR="003577F3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 Subotici a športové stretnutie stredoškolských domovov čiže tzv. Športová domiáda na Technickej škole </w:t>
            </w:r>
            <w:r w:rsidR="004C14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 žiackym domovom </w:t>
            </w:r>
            <w:r w:rsidR="003577F3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Apatine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25F2" w14:textId="55616ACF" w:rsidR="003577F3" w:rsidRPr="00671BBF" w:rsidRDefault="004C14FA" w:rsidP="006C6302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266 672,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5EB62C27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526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466E679E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F90F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Žiacky domov stredných škôl Nikolu Vojvodića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7411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Kikinda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BD1" w14:textId="3C031205" w:rsidR="003577F3" w:rsidRPr="00671BBF" w:rsidRDefault="003577F3" w:rsidP="00D266C8">
            <w:pPr>
              <w:spacing w:after="160" w:line="25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Súťaženie stredoškolských domovov čiže tzv. Domiáda v kultúrnej a umeleckej tvorivosti a športe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213F" w14:textId="4362C32D" w:rsidR="003577F3" w:rsidRPr="00671BBF" w:rsidRDefault="004C14FA" w:rsidP="00FE60B6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237 041,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1F7DE1F7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BD6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6674F826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A79E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bCs/>
                <w:sz w:val="22"/>
                <w:szCs w:val="22"/>
              </w:rPr>
              <w:t>Žiacky domov stredných škôl Angeliny Kojić Giny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BC3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Zreňanin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6A1" w14:textId="77777777" w:rsidR="003577F3" w:rsidRPr="00671BBF" w:rsidRDefault="003577F3" w:rsidP="004C14FA">
            <w:pPr>
              <w:spacing w:after="160" w:line="25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Údržba a rozvoj integrovaného manažérskeho systému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F093" w14:textId="6306CA44" w:rsidR="003577F3" w:rsidRPr="00671BBF" w:rsidRDefault="004C14FA" w:rsidP="00E86802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296 302,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60F5D464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ACD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663DDB8B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6E1C51DD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14:paraId="4F7D7A7A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1BD08971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75D7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Žiacky domov stredných škôl Vršac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7F03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Vršac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81FD" w14:textId="24C258E5" w:rsidR="003577F3" w:rsidRPr="00671BBF" w:rsidRDefault="00334384" w:rsidP="00D266C8">
            <w:pPr>
              <w:spacing w:after="160" w:line="25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Usporiadanie 27. stretnutia mládeže stredoškolských domovov v APV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8FF8" w14:textId="3C784A65" w:rsidR="003577F3" w:rsidRPr="00671BBF" w:rsidRDefault="004C14FA" w:rsidP="003577F3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167 100,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40078137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C1E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</w:p>
          <w:p w14:paraId="60C64051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3FF7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</w:p>
          <w:p w14:paraId="4208A6B8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Žiacky domov stredných škôl Subotica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F54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0EE8D53B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Subotica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597" w14:textId="6DCAD2D7" w:rsidR="003577F3" w:rsidRPr="00671BBF" w:rsidRDefault="003577F3" w:rsidP="004C14FA">
            <w:pPr>
              <w:spacing w:after="160" w:line="25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Usporiadanie stretnutí žiackych domovov v AP Vojvodine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4972" w14:textId="42B5DA2B" w:rsidR="003577F3" w:rsidRPr="00671BBF" w:rsidRDefault="004C14FA" w:rsidP="00121405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340 747,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397F8C5C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CE9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</w:p>
          <w:p w14:paraId="23975FFF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7C1A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Poľnohospodárska škola so žiackym domovom Futog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A958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Nový Sad/Futog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5BC6" w14:textId="557F8C5F" w:rsidR="003577F3" w:rsidRPr="00671BBF" w:rsidRDefault="00B42187" w:rsidP="00D266C8">
            <w:pPr>
              <w:spacing w:after="160" w:line="25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XXVII</w:t>
            </w:r>
            <w:r w:rsidR="004C14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športové </w:t>
            </w:r>
            <w:r w:rsidR="00D266C8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súťaže</w:t>
            </w: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="00D266C8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súťaže</w:t>
            </w: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mládeže vojvodinských stredoškolských domovov v kultúrnej a umeleckej tvorivosti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B938" w14:textId="7EA58781" w:rsidR="003577F3" w:rsidRPr="00671BBF" w:rsidRDefault="004C14FA" w:rsidP="00002F03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207 411,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0D5325DB" w14:textId="77777777" w:rsidTr="003577F3">
        <w:trPr>
          <w:trHeight w:val="787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B0A" w14:textId="1A35B6AC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7F8D77B8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CCEB" w14:textId="2F4C4DC9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Základná a stredná škola Petra Kuzmjak</w:t>
            </w:r>
            <w:r w:rsidR="004C14F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 xml:space="preserve"> so žiackym domovom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55F8" w14:textId="424D79C5" w:rsidR="003577F3" w:rsidRPr="00671BBF" w:rsidRDefault="004C14FA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Kula/</w:t>
            </w:r>
            <w:r w:rsidR="003577F3" w:rsidRPr="00671BBF">
              <w:rPr>
                <w:rFonts w:asciiTheme="minorHAnsi" w:hAnsiTheme="minorHAnsi" w:cstheme="minorHAnsi"/>
                <w:sz w:val="22"/>
                <w:szCs w:val="22"/>
              </w:rPr>
              <w:t>Ruský Kerestúr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FC03" w14:textId="77777777" w:rsidR="003577F3" w:rsidRPr="00671BBF" w:rsidRDefault="003577F3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Účasť na stretnutiach žiackych domovov tzv. Domiádach v Subotici a Apatine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CEAB" w14:textId="258F2D5F" w:rsidR="003577F3" w:rsidRPr="00671BBF" w:rsidRDefault="004C14FA" w:rsidP="003577F3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142 600,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40091ECE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AB8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330A9148" w14:textId="77777777" w:rsidR="00EB762D" w:rsidRDefault="00EB762D" w:rsidP="003577F3">
            <w:pPr>
              <w:spacing w:after="160"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9D80E" w14:textId="77777777" w:rsidR="00EB762D" w:rsidRDefault="00EB762D" w:rsidP="003577F3">
            <w:pPr>
              <w:spacing w:after="160"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C7C79" w14:textId="37745125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973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Gymnázium Jána Kollára so žiackym domovom Báčsky Petrovec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C32A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Báčsky Petrovec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C254" w14:textId="3AB75BDB" w:rsidR="003577F3" w:rsidRPr="004C14FA" w:rsidRDefault="003577F3" w:rsidP="00B956FF">
            <w:pPr>
              <w:spacing w:after="16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Účasť žiakov na stretnutí mládeže </w:t>
            </w:r>
            <w:r w:rsidR="004C14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žiackych domovov stredných škô</w:t>
            </w:r>
            <w:r w:rsidR="00B956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 Vojvodiny</w:t>
            </w:r>
            <w:r w:rsidR="004C14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kultúrnej a umeleckej tvorivosti v Subotici a športovom stretnutí mládeže</w:t>
            </w:r>
            <w:r w:rsidR="00B956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žiackych domovov stredných škôl Vojvodiny</w:t>
            </w: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956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Apatine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E078" w14:textId="54314A17" w:rsidR="003577F3" w:rsidRPr="00671BBF" w:rsidRDefault="00B956FF" w:rsidP="003577F3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163 800,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6430D1BC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C0E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5B42890B" w14:textId="4782B69F" w:rsidR="003577F3" w:rsidRPr="00671BBF" w:rsidRDefault="003577F3" w:rsidP="00EB762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89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Technická škola so žiackym domovom  Apatin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85E3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Apatin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07" w14:textId="5E18B5D8" w:rsidR="003577F3" w:rsidRPr="00671BBF" w:rsidRDefault="003577F3" w:rsidP="00B956FF">
            <w:pPr>
              <w:spacing w:after="160" w:line="25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Stretnutie domovov stredných</w:t>
            </w:r>
            <w:r w:rsidR="00B956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škôl vo Vojvodine v kultúrnej, </w:t>
            </w: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umeleckej a športovej tvorivosti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C170" w14:textId="7A0FF19E" w:rsidR="003577F3" w:rsidRPr="00671BBF" w:rsidRDefault="00B956FF" w:rsidP="00CB0B6E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233 874,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48D8475B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863" w14:textId="7CA4BAE3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08D345AD" w14:textId="7777777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AACE" w14:textId="460C2FDC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Škola pre základné a stredné vzdelávanie  Milana Petrovića so žiackym domovom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A14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Nový Sad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118F" w14:textId="681CAC61" w:rsidR="003577F3" w:rsidRPr="00671BBF" w:rsidRDefault="00B956FF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Jednodňový výlet N. Sad – </w:t>
            </w:r>
            <w:r w:rsidR="003577F3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Zobnatica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Subotica – Palić – </w:t>
            </w:r>
            <w:r w:rsidR="003577F3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577F3"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Sad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895" w14:textId="658A3D86" w:rsidR="003577F3" w:rsidRPr="00671BBF" w:rsidRDefault="00B956FF" w:rsidP="00CB0B6E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148 151,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  <w:tr w:rsidR="003577F3" w:rsidRPr="00233819" w14:paraId="231CCA8F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498C" w14:textId="77777777" w:rsidR="00EB762D" w:rsidRDefault="00EB762D" w:rsidP="003577F3">
            <w:pPr>
              <w:spacing w:after="160"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74B6E" w14:textId="77777777" w:rsidR="00EB762D" w:rsidRDefault="00EB762D" w:rsidP="003577F3">
            <w:pPr>
              <w:spacing w:after="160"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655FC" w14:textId="7FDA2A57" w:rsidR="003577F3" w:rsidRPr="00671BBF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BEA" w14:textId="77777777" w:rsidR="003577F3" w:rsidRPr="00671BBF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Gymnázium so žiackym domovom pre nadaných žiakov Bólyai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1E8" w14:textId="77777777" w:rsidR="003577F3" w:rsidRPr="00671BBF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sz w:val="22"/>
                <w:szCs w:val="22"/>
              </w:rPr>
              <w:t>Senta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34E" w14:textId="443EB99E" w:rsidR="007F16CC" w:rsidRPr="00671BBF" w:rsidRDefault="007F16CC" w:rsidP="00EB762D">
            <w:pPr>
              <w:spacing w:after="160" w:line="25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71B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systému manažérstva podľa normy ISO </w:t>
            </w:r>
            <w:r w:rsidR="006A0A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9001:2015 a systému HACCP</w:t>
            </w:r>
            <w:bookmarkStart w:id="0" w:name="_GoBack"/>
            <w:bookmarkEnd w:id="0"/>
          </w:p>
          <w:p w14:paraId="12053937" w14:textId="77777777" w:rsidR="003577F3" w:rsidRPr="00671BBF" w:rsidRDefault="003577F3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14:paraId="17D68F59" w14:textId="77777777" w:rsidR="003577F3" w:rsidRPr="00671BBF" w:rsidRDefault="003577F3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0AE6" w14:textId="032F3D5E" w:rsidR="003577F3" w:rsidRPr="00671BBF" w:rsidRDefault="00EB762D" w:rsidP="00B73587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296 302,</w:t>
            </w:r>
            <w:r w:rsidR="003577F3" w:rsidRPr="00671BBF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</w:tbl>
    <w:p w14:paraId="2293A1D9" w14:textId="77777777" w:rsidR="003577F3" w:rsidRPr="00233819" w:rsidRDefault="003577F3" w:rsidP="003577F3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D15759E" w14:textId="140236CC" w:rsidR="002542AD" w:rsidRPr="00233819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33FCEF6D" w14:textId="77777777" w:rsidR="00AD2D39" w:rsidRPr="00233819" w:rsidRDefault="00AD2D39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52BE5FD0" w14:textId="77777777" w:rsidR="00EB762D" w:rsidRDefault="00EB762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53B37D" w14:textId="77777777" w:rsidR="00EB762D" w:rsidRDefault="00EB762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4DFA74" w14:textId="6C6E94EA" w:rsidR="004C3295" w:rsidRPr="00233819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3819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14:paraId="598E0CA1" w14:textId="77777777" w:rsidR="004C3295" w:rsidRPr="00233819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876A2F" w14:textId="09E70B5F" w:rsidR="004C3295" w:rsidRPr="00233819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Theme="minorHAnsi" w:hAnsiTheme="minorHAnsi" w:cstheme="minorHAnsi"/>
          <w:sz w:val="22"/>
          <w:szCs w:val="22"/>
        </w:rPr>
      </w:pPr>
      <w:r w:rsidRPr="00233819">
        <w:rPr>
          <w:rFonts w:asciiTheme="minorHAnsi" w:hAnsiTheme="minorHAnsi" w:cstheme="minorHAnsi"/>
          <w:sz w:val="22"/>
          <w:szCs w:val="22"/>
        </w:rPr>
        <w:t xml:space="preserve">            Prostriedky z bodu II. tohto rozhodnutia</w:t>
      </w:r>
      <w:r w:rsidR="00EB762D">
        <w:rPr>
          <w:rFonts w:asciiTheme="minorHAnsi" w:hAnsiTheme="minorHAnsi" w:cstheme="minorHAnsi"/>
          <w:sz w:val="22"/>
          <w:szCs w:val="22"/>
        </w:rPr>
        <w:t xml:space="preserve"> sú určené</w:t>
      </w:r>
      <w:r w:rsidRPr="00233819">
        <w:rPr>
          <w:rFonts w:asciiTheme="minorHAnsi" w:hAnsiTheme="minorHAnsi" w:cstheme="minorHAnsi"/>
          <w:sz w:val="22"/>
          <w:szCs w:val="22"/>
        </w:rPr>
        <w:t xml:space="preserve"> Pokrajinským parlamentným uznesením o rozpočte </w:t>
      </w:r>
      <w:r w:rsidR="00637DDD">
        <w:rPr>
          <w:rFonts w:asciiTheme="minorHAnsi" w:hAnsiTheme="minorHAnsi" w:cstheme="minorHAnsi"/>
          <w:sz w:val="22"/>
          <w:szCs w:val="22"/>
        </w:rPr>
        <w:t xml:space="preserve">Autonómnej pokrajiny Vojvodiny </w:t>
      </w:r>
      <w:r w:rsidRPr="00233819">
        <w:rPr>
          <w:rFonts w:asciiTheme="minorHAnsi" w:hAnsiTheme="minorHAnsi" w:cstheme="minorHAnsi"/>
          <w:sz w:val="22"/>
          <w:szCs w:val="22"/>
        </w:rPr>
        <w:t>na rok 2024 (Úr</w:t>
      </w:r>
      <w:r w:rsidR="00EB762D">
        <w:rPr>
          <w:rFonts w:asciiTheme="minorHAnsi" w:hAnsiTheme="minorHAnsi" w:cstheme="minorHAnsi"/>
          <w:sz w:val="22"/>
          <w:szCs w:val="22"/>
        </w:rPr>
        <w:t>adný vestník APV č. 45/23), v oddiele 06 –</w:t>
      </w:r>
      <w:r w:rsidRPr="00233819">
        <w:rPr>
          <w:rFonts w:asciiTheme="minorHAnsi" w:hAnsiTheme="minorHAnsi" w:cstheme="minorHAnsi"/>
          <w:sz w:val="22"/>
          <w:szCs w:val="22"/>
        </w:rPr>
        <w:t xml:space="preserve"> Pokrajinský sekretariát vzdelávania, predpisov, správy a národnostných menšín – národnostných spoločenstiev (ďalej: sekretariát), Program 2007 – Podpora vo vzdelávaní žiakov a študentov, Programová aktivita 1004 – Zvyšovanie kvality žiackeho štandardu, funkčná klasifikácia 960 </w:t>
      </w:r>
      <w:r w:rsidR="00EB762D">
        <w:rPr>
          <w:rFonts w:asciiTheme="minorHAnsi" w:hAnsiTheme="minorHAnsi" w:cstheme="minorHAnsi"/>
          <w:sz w:val="22"/>
          <w:szCs w:val="22"/>
        </w:rPr>
        <w:t xml:space="preserve">– </w:t>
      </w:r>
      <w:r w:rsidRPr="00233819">
        <w:rPr>
          <w:rFonts w:asciiTheme="minorHAnsi" w:hAnsiTheme="minorHAnsi" w:cstheme="minorHAnsi"/>
          <w:sz w:val="22"/>
          <w:szCs w:val="22"/>
        </w:rPr>
        <w:t>Pomocné služby vo vzdelávaní</w:t>
      </w:r>
      <w:r w:rsidR="00EB762D">
        <w:rPr>
          <w:rFonts w:asciiTheme="minorHAnsi" w:hAnsiTheme="minorHAnsi" w:cstheme="minorHAnsi"/>
          <w:sz w:val="22"/>
          <w:szCs w:val="22"/>
        </w:rPr>
        <w:t>, zdroj financovania</w:t>
      </w:r>
      <w:r w:rsidRPr="00233819">
        <w:rPr>
          <w:rFonts w:asciiTheme="minorHAnsi" w:hAnsiTheme="minorHAnsi" w:cstheme="minorHAnsi"/>
          <w:sz w:val="22"/>
          <w:szCs w:val="22"/>
        </w:rPr>
        <w:t xml:space="preserve"> 01 00 – Všeobecné príjmy a výnosy rozpočtu, ekonomická klasifikácia 463 – Transfery iným úrovniam moci, 4631 – Bežn</w:t>
      </w:r>
      <w:r w:rsidR="00EB762D">
        <w:rPr>
          <w:rFonts w:asciiTheme="minorHAnsi" w:hAnsiTheme="minorHAnsi" w:cstheme="minorHAnsi"/>
          <w:sz w:val="22"/>
          <w:szCs w:val="22"/>
        </w:rPr>
        <w:t xml:space="preserve">é transfery iným úrovniam moci, </w:t>
      </w:r>
      <w:r w:rsidRPr="00233819">
        <w:rPr>
          <w:rFonts w:asciiTheme="minorHAnsi" w:hAnsiTheme="minorHAnsi" w:cstheme="minorHAnsi"/>
          <w:sz w:val="22"/>
          <w:szCs w:val="22"/>
        </w:rPr>
        <w:t>a prenášajú sa užívateľom v súlade s prílevom prostriedkov do rozpočtu AP Vojvodiny, respektíve s likvidnými možnosťami rozpočtu.</w:t>
      </w:r>
    </w:p>
    <w:p w14:paraId="5CDFEB8A" w14:textId="07BA88C0" w:rsidR="005117C5" w:rsidRPr="00233819" w:rsidRDefault="005117C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27E90FA" w14:textId="77777777" w:rsidR="004C3295" w:rsidRPr="00233819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IV.</w:t>
      </w:r>
    </w:p>
    <w:p w14:paraId="3C8C860F" w14:textId="77777777" w:rsidR="004C3295" w:rsidRPr="00233819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75FFD2F9" w14:textId="370686E0" w:rsidR="004C3295" w:rsidRPr="00233819" w:rsidRDefault="00EB762D" w:rsidP="004C3295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      Pre náklady a výdavky</w:t>
      </w:r>
      <w:r w:rsidR="004C3295" w:rsidRPr="00233819">
        <w:rPr>
          <w:rFonts w:asciiTheme="minorHAnsi" w:hAnsiTheme="minorHAnsi" w:cstheme="minorHAnsi"/>
          <w:bCs/>
          <w:iCs/>
          <w:sz w:val="22"/>
          <w:szCs w:val="22"/>
        </w:rPr>
        <w:t xml:space="preserve"> súvisiace s realizáciou účelu, na ktorý boli prostriedky pridelené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4C3295" w:rsidRPr="00233819">
        <w:rPr>
          <w:rFonts w:asciiTheme="minorHAnsi" w:hAnsiTheme="minorHAnsi" w:cstheme="minorHAnsi"/>
          <w:bCs/>
          <w:iCs/>
          <w:sz w:val="22"/>
          <w:szCs w:val="22"/>
        </w:rPr>
        <w:t xml:space="preserve"> a ktoré sú predmetom verejného obstarávania, prijíma príjemca prostriedkov postup verejného obstarávania v súlade s predpismi upravujúcimi verejné obstarávanie.</w:t>
      </w:r>
    </w:p>
    <w:p w14:paraId="724D9F61" w14:textId="77777777" w:rsidR="004C3295" w:rsidRPr="00233819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  <w:lang w:val="ru-RU"/>
        </w:rPr>
      </w:pPr>
    </w:p>
    <w:p w14:paraId="26E82F12" w14:textId="77777777" w:rsidR="004C3295" w:rsidRPr="00233819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V.</w:t>
      </w:r>
    </w:p>
    <w:p w14:paraId="34628F7F" w14:textId="77777777" w:rsidR="004C3295" w:rsidRPr="00233819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4427B954" w14:textId="11432CD0" w:rsidR="004C3295" w:rsidRPr="00233819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EB762D">
        <w:rPr>
          <w:rFonts w:asciiTheme="minorHAnsi" w:hAnsiTheme="minorHAnsi" w:cstheme="minorHAnsi"/>
          <w:color w:val="000000"/>
          <w:sz w:val="22"/>
          <w:szCs w:val="22"/>
        </w:rPr>
        <w:t xml:space="preserve"> Sekretariát informuje užívateľov</w:t>
      </w: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o rozdelení finančných prostriedkov určených týmto rozhodnutím.</w:t>
      </w:r>
    </w:p>
    <w:p w14:paraId="42FD9C37" w14:textId="77777777" w:rsidR="00336C17" w:rsidRPr="00233819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165EB583" w14:textId="77777777" w:rsidR="00336C17" w:rsidRPr="00233819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4A6619A9" w14:textId="77777777" w:rsidR="004C3295" w:rsidRPr="00233819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VI.</w:t>
      </w:r>
    </w:p>
    <w:p w14:paraId="49F355A4" w14:textId="77777777" w:rsidR="004C3295" w:rsidRPr="00233819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172947FA" w14:textId="4B582671" w:rsidR="004C3295" w:rsidRPr="00233819" w:rsidRDefault="00655766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            Sekretariát prevezme záväzok voči užívateľom na základe písomnej zmluvy.</w:t>
      </w:r>
    </w:p>
    <w:p w14:paraId="25BAFBAB" w14:textId="77777777" w:rsidR="004C3295" w:rsidRPr="00233819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11558B4B" w14:textId="77777777" w:rsidR="004C3295" w:rsidRPr="00233819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VII.</w:t>
      </w:r>
    </w:p>
    <w:p w14:paraId="19CD6A41" w14:textId="77777777" w:rsidR="004C3295" w:rsidRPr="00233819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720751" w14:textId="1C557EC2" w:rsidR="004C3295" w:rsidRPr="00233819" w:rsidRDefault="00655766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             Toto rozhodnutie je konečné a p</w:t>
      </w:r>
      <w:r w:rsidR="00EB762D">
        <w:rPr>
          <w:rFonts w:asciiTheme="minorHAnsi" w:hAnsiTheme="minorHAnsi" w:cstheme="minorHAnsi"/>
          <w:color w:val="000000"/>
          <w:sz w:val="22"/>
          <w:szCs w:val="22"/>
        </w:rPr>
        <w:t>roti nemu nemožno podať odvolanie</w:t>
      </w:r>
      <w:r w:rsidRPr="0023381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8FA81C" w14:textId="77777777" w:rsidR="004C3295" w:rsidRPr="00233819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731136A" w14:textId="77777777" w:rsidR="004C3295" w:rsidRPr="00233819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0C289CC" w14:textId="77777777" w:rsidR="004C3295" w:rsidRPr="00233819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VIII.</w:t>
      </w:r>
    </w:p>
    <w:p w14:paraId="622D2B1A" w14:textId="77777777" w:rsidR="004C3295" w:rsidRPr="00233819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</w:pPr>
    </w:p>
    <w:p w14:paraId="79DB7609" w14:textId="77777777" w:rsidR="004C3295" w:rsidRPr="00233819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233819">
        <w:rPr>
          <w:rFonts w:asciiTheme="minorHAnsi" w:hAnsiTheme="minorHAnsi" w:cstheme="minorHAnsi"/>
          <w:sz w:val="22"/>
          <w:szCs w:val="22"/>
        </w:rPr>
        <w:t>Za výkon tohto rozhodnutia je zodpovedný Sektor pre hmotno-finančné úkony sekretariátu.</w:t>
      </w:r>
    </w:p>
    <w:p w14:paraId="4A55989B" w14:textId="1A1CE041" w:rsidR="004C3295" w:rsidRPr="00233819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50CC4B3F" w14:textId="77777777" w:rsidR="004C3295" w:rsidRPr="00233819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486FA107" w14:textId="77777777" w:rsidR="004C3295" w:rsidRPr="00233819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b/>
          <w:color w:val="000000"/>
          <w:sz w:val="22"/>
          <w:szCs w:val="22"/>
        </w:rPr>
        <w:t>Rozhodnutie doručiť:</w:t>
      </w:r>
    </w:p>
    <w:p w14:paraId="7D816E05" w14:textId="77777777" w:rsidR="004C3295" w:rsidRPr="00233819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</w:pPr>
    </w:p>
    <w:p w14:paraId="6966A5E8" w14:textId="77777777" w:rsidR="004C3295" w:rsidRPr="00233819" w:rsidRDefault="004C3295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color w:val="000000"/>
          <w:sz w:val="22"/>
          <w:szCs w:val="22"/>
        </w:rPr>
        <w:t>Sektoru pre hmotno-finančné úkony sekretariátu</w:t>
      </w:r>
    </w:p>
    <w:p w14:paraId="21F7AB4C" w14:textId="77777777" w:rsidR="004C3295" w:rsidRPr="00233819" w:rsidRDefault="004C3295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3819">
        <w:rPr>
          <w:rFonts w:asciiTheme="minorHAnsi" w:hAnsiTheme="minorHAnsi" w:cstheme="minorHAnsi"/>
          <w:color w:val="000000"/>
          <w:sz w:val="22"/>
          <w:szCs w:val="22"/>
        </w:rPr>
        <w:t xml:space="preserve">Archívu  </w:t>
      </w:r>
    </w:p>
    <w:p w14:paraId="3573394F" w14:textId="77777777" w:rsidR="004C3295" w:rsidRPr="00233819" w:rsidRDefault="004C3295" w:rsidP="004C329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14:paraId="206A561B" w14:textId="77777777" w:rsidR="004C3295" w:rsidRPr="00233819" w:rsidRDefault="004C3295" w:rsidP="004C329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tbl>
      <w:tblPr>
        <w:tblW w:w="3420" w:type="dxa"/>
        <w:jc w:val="right"/>
        <w:tblLook w:val="01E0" w:firstRow="1" w:lastRow="1" w:firstColumn="1" w:lastColumn="1" w:noHBand="0" w:noVBand="0"/>
      </w:tblPr>
      <w:tblGrid>
        <w:gridCol w:w="3420"/>
      </w:tblGrid>
      <w:tr w:rsidR="004C3295" w:rsidRPr="00233819" w14:paraId="76DE6C59" w14:textId="77777777" w:rsidTr="00D1130D">
        <w:trPr>
          <w:jc w:val="right"/>
        </w:trPr>
        <w:tc>
          <w:tcPr>
            <w:tcW w:w="3420" w:type="dxa"/>
          </w:tcPr>
          <w:p w14:paraId="2A760B73" w14:textId="77777777" w:rsidR="004C3295" w:rsidRPr="00233819" w:rsidRDefault="004C3295" w:rsidP="00D113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338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POKRAJINSKÝ TAJOMNÍK</w:t>
            </w:r>
          </w:p>
          <w:p w14:paraId="0DA1F2C1" w14:textId="77777777" w:rsidR="004C3295" w:rsidRPr="00233819" w:rsidRDefault="004C3295" w:rsidP="00D113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  <w:p w14:paraId="18EA7D87" w14:textId="77777777" w:rsidR="004C3295" w:rsidRPr="00233819" w:rsidRDefault="004C3295" w:rsidP="00D113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338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Zsolt Szakállas</w:t>
            </w:r>
          </w:p>
        </w:tc>
      </w:tr>
    </w:tbl>
    <w:p w14:paraId="5062F191" w14:textId="77777777" w:rsidR="00EF5613" w:rsidRPr="00233819" w:rsidRDefault="00EF5613" w:rsidP="003577F3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</w:pPr>
    </w:p>
    <w:sectPr w:rsidR="00EF5613" w:rsidRPr="00233819" w:rsidSect="003577F3">
      <w:headerReference w:type="even" r:id="rId10"/>
      <w:pgSz w:w="12240" w:h="15840"/>
      <w:pgMar w:top="1440" w:right="709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FD949" w14:textId="77777777" w:rsidR="001E7510" w:rsidRDefault="001E7510">
      <w:r>
        <w:separator/>
      </w:r>
    </w:p>
  </w:endnote>
  <w:endnote w:type="continuationSeparator" w:id="0">
    <w:p w14:paraId="299A4E94" w14:textId="77777777" w:rsidR="001E7510" w:rsidRDefault="001E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7694" w14:textId="77777777" w:rsidR="001E7510" w:rsidRDefault="001E7510">
      <w:r>
        <w:separator/>
      </w:r>
    </w:p>
  </w:footnote>
  <w:footnote w:type="continuationSeparator" w:id="0">
    <w:p w14:paraId="65F2DFA3" w14:textId="77777777" w:rsidR="001E7510" w:rsidRDefault="001E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02F03"/>
    <w:rsid w:val="00026637"/>
    <w:rsid w:val="000529C1"/>
    <w:rsid w:val="0005313F"/>
    <w:rsid w:val="000A3A10"/>
    <w:rsid w:val="000A4D75"/>
    <w:rsid w:val="000B1BBD"/>
    <w:rsid w:val="0010116E"/>
    <w:rsid w:val="00121405"/>
    <w:rsid w:val="00127D83"/>
    <w:rsid w:val="00134646"/>
    <w:rsid w:val="00164821"/>
    <w:rsid w:val="001C59F8"/>
    <w:rsid w:val="001D5628"/>
    <w:rsid w:val="001E0C5C"/>
    <w:rsid w:val="001E7510"/>
    <w:rsid w:val="001F3F9B"/>
    <w:rsid w:val="00207E01"/>
    <w:rsid w:val="00222C25"/>
    <w:rsid w:val="00222EF7"/>
    <w:rsid w:val="00232580"/>
    <w:rsid w:val="00233819"/>
    <w:rsid w:val="00251A29"/>
    <w:rsid w:val="002542AD"/>
    <w:rsid w:val="002C1894"/>
    <w:rsid w:val="002F1680"/>
    <w:rsid w:val="00334384"/>
    <w:rsid w:val="00336C17"/>
    <w:rsid w:val="0034375A"/>
    <w:rsid w:val="003577F3"/>
    <w:rsid w:val="00380287"/>
    <w:rsid w:val="003852E9"/>
    <w:rsid w:val="00390D4A"/>
    <w:rsid w:val="003C3DEC"/>
    <w:rsid w:val="003F090B"/>
    <w:rsid w:val="003F6CA7"/>
    <w:rsid w:val="004121A4"/>
    <w:rsid w:val="00422D07"/>
    <w:rsid w:val="0043119D"/>
    <w:rsid w:val="00453C97"/>
    <w:rsid w:val="00492695"/>
    <w:rsid w:val="004C14FA"/>
    <w:rsid w:val="004C3295"/>
    <w:rsid w:val="004E05E2"/>
    <w:rsid w:val="004F3C6B"/>
    <w:rsid w:val="004F5B31"/>
    <w:rsid w:val="005009C8"/>
    <w:rsid w:val="005117C5"/>
    <w:rsid w:val="00544339"/>
    <w:rsid w:val="00552829"/>
    <w:rsid w:val="005663B0"/>
    <w:rsid w:val="00566FB3"/>
    <w:rsid w:val="005D7CA9"/>
    <w:rsid w:val="005F00FD"/>
    <w:rsid w:val="00600597"/>
    <w:rsid w:val="0060735F"/>
    <w:rsid w:val="00637DDD"/>
    <w:rsid w:val="00655766"/>
    <w:rsid w:val="006712C8"/>
    <w:rsid w:val="00671BBF"/>
    <w:rsid w:val="006A0A58"/>
    <w:rsid w:val="006B723C"/>
    <w:rsid w:val="006C6302"/>
    <w:rsid w:val="006D0D69"/>
    <w:rsid w:val="006D38DB"/>
    <w:rsid w:val="006D4355"/>
    <w:rsid w:val="006D7322"/>
    <w:rsid w:val="006E1A26"/>
    <w:rsid w:val="006E3AEA"/>
    <w:rsid w:val="00702966"/>
    <w:rsid w:val="00703EE3"/>
    <w:rsid w:val="00705208"/>
    <w:rsid w:val="007200DF"/>
    <w:rsid w:val="00755114"/>
    <w:rsid w:val="00770F73"/>
    <w:rsid w:val="007757B7"/>
    <w:rsid w:val="007B2CF1"/>
    <w:rsid w:val="007B6BF0"/>
    <w:rsid w:val="007D332B"/>
    <w:rsid w:val="007D360C"/>
    <w:rsid w:val="007E7C17"/>
    <w:rsid w:val="007F16CC"/>
    <w:rsid w:val="007F54EC"/>
    <w:rsid w:val="00807159"/>
    <w:rsid w:val="008165CC"/>
    <w:rsid w:val="00824F87"/>
    <w:rsid w:val="00843352"/>
    <w:rsid w:val="00894F95"/>
    <w:rsid w:val="008E44BB"/>
    <w:rsid w:val="008F41A8"/>
    <w:rsid w:val="009251DE"/>
    <w:rsid w:val="009273A3"/>
    <w:rsid w:val="009667D1"/>
    <w:rsid w:val="009C19AA"/>
    <w:rsid w:val="009C4BE8"/>
    <w:rsid w:val="009C4C00"/>
    <w:rsid w:val="009C6A1C"/>
    <w:rsid w:val="009E6903"/>
    <w:rsid w:val="00A069AA"/>
    <w:rsid w:val="00A15393"/>
    <w:rsid w:val="00A36CCD"/>
    <w:rsid w:val="00A4649F"/>
    <w:rsid w:val="00A84E54"/>
    <w:rsid w:val="00AB5C25"/>
    <w:rsid w:val="00AD13B3"/>
    <w:rsid w:val="00AD2D39"/>
    <w:rsid w:val="00AD7E9A"/>
    <w:rsid w:val="00B42187"/>
    <w:rsid w:val="00B46D41"/>
    <w:rsid w:val="00B73587"/>
    <w:rsid w:val="00B767E4"/>
    <w:rsid w:val="00B956FF"/>
    <w:rsid w:val="00BC3AB3"/>
    <w:rsid w:val="00BD29CA"/>
    <w:rsid w:val="00BE6DBB"/>
    <w:rsid w:val="00BF1BA8"/>
    <w:rsid w:val="00BF63A3"/>
    <w:rsid w:val="00C06DC9"/>
    <w:rsid w:val="00C12BB9"/>
    <w:rsid w:val="00C17EFC"/>
    <w:rsid w:val="00C24712"/>
    <w:rsid w:val="00C26BC5"/>
    <w:rsid w:val="00C554CE"/>
    <w:rsid w:val="00C56C43"/>
    <w:rsid w:val="00C95D3A"/>
    <w:rsid w:val="00CA6F3E"/>
    <w:rsid w:val="00CB04C1"/>
    <w:rsid w:val="00CB0B6E"/>
    <w:rsid w:val="00D01A37"/>
    <w:rsid w:val="00D1282C"/>
    <w:rsid w:val="00D16620"/>
    <w:rsid w:val="00D20210"/>
    <w:rsid w:val="00D266C8"/>
    <w:rsid w:val="00D27B98"/>
    <w:rsid w:val="00D67564"/>
    <w:rsid w:val="00D707FD"/>
    <w:rsid w:val="00D83311"/>
    <w:rsid w:val="00DC7785"/>
    <w:rsid w:val="00DE127B"/>
    <w:rsid w:val="00E022EE"/>
    <w:rsid w:val="00E23703"/>
    <w:rsid w:val="00E279DC"/>
    <w:rsid w:val="00E32A25"/>
    <w:rsid w:val="00E709CE"/>
    <w:rsid w:val="00E86802"/>
    <w:rsid w:val="00EA4291"/>
    <w:rsid w:val="00EB3DDC"/>
    <w:rsid w:val="00EB762D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10638"/>
    <w:rsid w:val="00F27B76"/>
    <w:rsid w:val="00F83BBF"/>
    <w:rsid w:val="00FA3404"/>
    <w:rsid w:val="00FD624A"/>
    <w:rsid w:val="00FE315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7A98-F6AD-4E67-BFCA-6347678C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Martina Bartosova</cp:lastModifiedBy>
  <cp:revision>5</cp:revision>
  <cp:lastPrinted>2023-04-27T09:45:00Z</cp:lastPrinted>
  <dcterms:created xsi:type="dcterms:W3CDTF">2024-03-19T08:14:00Z</dcterms:created>
  <dcterms:modified xsi:type="dcterms:W3CDTF">2024-03-19T11:16:00Z</dcterms:modified>
</cp:coreProperties>
</file>