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14:paraId="687D7FB3" w14:textId="77777777" w:rsidTr="00342F7E">
        <w:trPr>
          <w:trHeight w:val="1975"/>
        </w:trPr>
        <w:tc>
          <w:tcPr>
            <w:tcW w:w="2552" w:type="dxa"/>
          </w:tcPr>
          <w:p w14:paraId="231229FD" w14:textId="77777777" w:rsidR="00334289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3A2907D5" wp14:editId="531E36BE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AE1914D" w14:textId="77777777"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CS"/>
              </w:rPr>
            </w:pPr>
          </w:p>
          <w:p w14:paraId="0A8FF368" w14:textId="77777777"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14:paraId="4F798FFE" w14:textId="77777777"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Srbská republika</w:t>
            </w:r>
          </w:p>
          <w:p w14:paraId="0595F61B" w14:textId="77777777" w:rsidR="00334289" w:rsidRDefault="00334289" w:rsidP="00A33F49">
            <w:pPr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Autonómna pokrajina Vojvodina</w:t>
            </w:r>
          </w:p>
          <w:p w14:paraId="650F181D" w14:textId="77777777" w:rsidR="00334289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14:paraId="0F1CF41E" w14:textId="77777777" w:rsidR="00334289" w:rsidRDefault="00334289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Pokrajinský sekretariát vzdelávania, predpisov, správy a národnostných menšín – národnostných spoločenstiev</w:t>
            </w:r>
          </w:p>
          <w:p w14:paraId="64CDE5BC" w14:textId="77777777"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14:paraId="49F33809" w14:textId="77777777"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Bulvár Mihajla Pupina 16, 21 000 Nový Sad</w:t>
            </w:r>
          </w:p>
          <w:p w14:paraId="12B989D6" w14:textId="77777777" w:rsidR="00334289" w:rsidRPr="002A66A1" w:rsidRDefault="00334289" w:rsidP="00334289">
            <w:pPr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T: +381 21 487 4502, 487 4602;</w:t>
            </w:r>
          </w:p>
          <w:p w14:paraId="086D69B8" w14:textId="77777777" w:rsidR="00334289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ounz@vojvodina.gov.rs </w:t>
            </w:r>
          </w:p>
        </w:tc>
      </w:tr>
    </w:tbl>
    <w:p w14:paraId="3198D749" w14:textId="77777777" w:rsidR="00334289" w:rsidRPr="00715864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PRIHLÁŠKA NA SÚBEH </w:t>
      </w:r>
    </w:p>
    <w:p w14:paraId="4F87DC84" w14:textId="74BCC5F9" w:rsidR="0088766F" w:rsidRDefault="0088766F" w:rsidP="0088766F">
      <w:pPr>
        <w:pStyle w:val="BodyText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NA FINANCOVANIE A SPOLUFINANCOVANIE O</w:t>
      </w:r>
      <w:r w:rsidR="00822958">
        <w:rPr>
          <w:rFonts w:ascii="Calibri" w:hAnsi="Calibri"/>
          <w:b/>
          <w:bCs/>
          <w:color w:val="000000" w:themeColor="text1"/>
          <w:sz w:val="20"/>
          <w:szCs w:val="20"/>
        </w:rPr>
        <w:t>B</w:t>
      </w:r>
      <w:r>
        <w:rPr>
          <w:rFonts w:ascii="Calibri" w:hAnsi="Calibri"/>
          <w:b/>
          <w:bCs/>
          <w:color w:val="000000" w:themeColor="text1"/>
          <w:sz w:val="20"/>
          <w:szCs w:val="20"/>
        </w:rPr>
        <w:t xml:space="preserve">STARANIA ZARIADENIA – VIDEODOHĽADU VO FUNKCII PODPORY </w:t>
      </w:r>
      <w:r w:rsidR="00556C78">
        <w:rPr>
          <w:rFonts w:ascii="Calibri" w:hAnsi="Calibri"/>
          <w:b/>
          <w:bCs/>
          <w:color w:val="000000" w:themeColor="text1"/>
          <w:sz w:val="20"/>
          <w:szCs w:val="20"/>
        </w:rPr>
        <w:t xml:space="preserve">       </w:t>
      </w:r>
      <w:r>
        <w:rPr>
          <w:rFonts w:ascii="Calibri" w:hAnsi="Calibri"/>
          <w:b/>
          <w:bCs/>
          <w:color w:val="000000" w:themeColor="text1"/>
          <w:sz w:val="20"/>
          <w:szCs w:val="20"/>
        </w:rPr>
        <w:t xml:space="preserve">A ZVYŠOVANIA BEZPEČNOSTI ŽIAKOV PRE USTANOVIZNE STREDNÉHO VZDELÁVANIA A VÝCHOVY NA ÚZEMÍ AUTONÓMNEJ POKRAJINY VOJVODINY V ROKU 2024 </w:t>
      </w:r>
    </w:p>
    <w:p w14:paraId="2A239B5B" w14:textId="77777777" w:rsidR="00817E17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330BBF03" w14:textId="77777777" w:rsidR="00817E17" w:rsidRPr="00C30C8D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0046E6" w14:paraId="2C000438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64AB9E78" w14:textId="77777777"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26EB4D44" w14:textId="7CD454A6" w:rsidR="00334289" w:rsidRPr="00D10A84" w:rsidRDefault="00334289" w:rsidP="0082295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ÚDAJE O </w:t>
            </w:r>
            <w:r w:rsidR="00822958">
              <w:rPr>
                <w:rFonts w:ascii="Calibri" w:hAnsi="Calibri"/>
                <w:b/>
                <w:sz w:val="22"/>
                <w:szCs w:val="22"/>
              </w:rPr>
              <w:t>ŽIADATEĽOVI</w:t>
            </w:r>
          </w:p>
        </w:tc>
      </w:tr>
      <w:tr w:rsidR="00334289" w:rsidRPr="00342F7E" w14:paraId="4231B724" w14:textId="77777777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17AE9C02" w14:textId="77777777" w:rsidR="00671E30" w:rsidRPr="00671E30" w:rsidRDefault="00253A99" w:rsidP="00020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Názov ustanovizne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20A3AD07" w14:textId="77777777" w:rsidR="00671E30" w:rsidRPr="00D10A84" w:rsidRDefault="00671E30" w:rsidP="00B25BC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14:paraId="69A61235" w14:textId="77777777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084BB281" w14:textId="2310F4A9"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Poštové číslo a</w:t>
            </w:r>
            <w:r w:rsidR="00556C78">
              <w:rPr>
                <w:rFonts w:ascii="Calibri" w:hAnsi="Calibri"/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sídlo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B0BAAD8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14:paraId="312DC7D4" w14:textId="77777777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2315711E" w14:textId="77777777" w:rsidR="00334289" w:rsidRPr="000046E6" w:rsidRDefault="00334289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a číslo)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08A15B07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14:paraId="364F1B3C" w14:textId="77777777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457D0E7" w14:textId="77777777"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Telefónne číslo a číslo faxu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77F6134B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14:paraId="135140E9" w14:textId="77777777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13D4915C" w14:textId="77777777"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E-mailová adresa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CD9319D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342F7E" w14:paraId="37F1B47B" w14:textId="77777777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2F33DB33" w14:textId="77777777" w:rsidR="00334289" w:rsidRPr="000046E6" w:rsidRDefault="00342F7E" w:rsidP="000201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Zodpovedná osoba ustanovizne (riaditeľ) 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736D01F9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2A66A1" w14:paraId="5489FE22" w14:textId="77777777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60FA7D5E" w14:textId="77777777" w:rsidR="00822958" w:rsidRDefault="006F2103" w:rsidP="006F210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Evidenčné číslo účtu ustanovizne </w:t>
            </w:r>
            <w:r w:rsidR="00556C78"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="00822958">
              <w:rPr>
                <w:rFonts w:ascii="Calibri" w:hAnsi="Calibri"/>
                <w:sz w:val="22"/>
                <w:szCs w:val="22"/>
              </w:rPr>
              <w:t>s referenčným číslom/</w:t>
            </w:r>
            <w:r>
              <w:rPr>
                <w:rFonts w:ascii="Calibri" w:hAnsi="Calibri"/>
                <w:sz w:val="22"/>
                <w:szCs w:val="22"/>
              </w:rPr>
              <w:t xml:space="preserve">Číslo účtu v Správe trezoru </w:t>
            </w:r>
          </w:p>
          <w:p w14:paraId="4EA59272" w14:textId="4226AE53" w:rsidR="00334289" w:rsidRPr="00EB7B21" w:rsidRDefault="006F2103" w:rsidP="006F2103">
            <w:pPr>
              <w:rPr>
                <w:rFonts w:ascii="Calibri" w:hAnsi="Calibri"/>
                <w:strike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(bežný podnikateľský účet)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40F00F5B" w14:textId="77777777" w:rsidR="00334289" w:rsidRPr="00342F7E" w:rsidRDefault="00334289" w:rsidP="00A33F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334289" w:rsidRPr="008B0131" w14:paraId="3580219E" w14:textId="77777777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CE743A7" w14:textId="77777777"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Daňové identifikačné číslo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F1B4DAF" w14:textId="77777777"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14:paraId="441AF30E" w14:textId="77777777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0F968B95" w14:textId="77777777"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Identifikačné číslo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1D759D29" w14:textId="77777777"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14:paraId="58EB2CA9" w14:textId="77777777" w:rsidR="00334289" w:rsidRPr="00D10A84" w:rsidRDefault="00334289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2A66A1" w14:paraId="6A9A1156" w14:textId="77777777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511D41A9" w14:textId="77777777" w:rsidR="00334289" w:rsidRPr="00FF6E1E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14:paraId="6A6CCA4E" w14:textId="77777777" w:rsidR="00334289" w:rsidRPr="003806B3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VŠEOBECNÉ ÚDAJE O OBSTARANÍ VYBAVENIA</w:t>
            </w:r>
          </w:p>
        </w:tc>
      </w:tr>
      <w:tr w:rsidR="00334289" w:rsidRPr="002A66A1" w14:paraId="54A4650D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33980BE0" w14:textId="77777777" w:rsidR="00334289" w:rsidRPr="007A5C80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 na obstaranie vybavenia (meno a priezvisko, adresa, kontaktný telefón, e-mailová adresa)</w:t>
            </w:r>
          </w:p>
        </w:tc>
        <w:tc>
          <w:tcPr>
            <w:tcW w:w="6077" w:type="dxa"/>
            <w:gridSpan w:val="4"/>
            <w:vAlign w:val="center"/>
          </w:tcPr>
          <w:p w14:paraId="6B0C5EF9" w14:textId="77777777"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14:paraId="2C54F541" w14:textId="77777777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14:paraId="41C58175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Názov vybavenia</w:t>
            </w:r>
          </w:p>
        </w:tc>
        <w:tc>
          <w:tcPr>
            <w:tcW w:w="6077" w:type="dxa"/>
            <w:gridSpan w:val="4"/>
            <w:vAlign w:val="center"/>
          </w:tcPr>
          <w:p w14:paraId="51044842" w14:textId="77777777"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2A66A1" w14:paraId="4D3C8A6A" w14:textId="77777777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14:paraId="525179F5" w14:textId="77777777" w:rsidR="00334289" w:rsidRPr="00D10A84" w:rsidRDefault="00A420AE" w:rsidP="00A261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Opis, význam a účel vybavenia, ktoré sa obstaráva </w:t>
            </w:r>
          </w:p>
        </w:tc>
        <w:tc>
          <w:tcPr>
            <w:tcW w:w="6077" w:type="dxa"/>
            <w:gridSpan w:val="4"/>
            <w:vAlign w:val="center"/>
          </w:tcPr>
          <w:p w14:paraId="1AC08073" w14:textId="77777777"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660C8A73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0A285358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48120A38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771EE979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77EFACB5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40C18F5E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5CA5ED7A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64944379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26ED7737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7F032EED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382C31E9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12837C35" w14:textId="77777777"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5940B872" w14:textId="77777777"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22F0DA49" w14:textId="77777777"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0CF2F971" w14:textId="77777777"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60580C23" w14:textId="77777777"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2CD67B60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3B47D17D" w14:textId="77777777" w:rsidR="00A261DE" w:rsidRPr="00D10A8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2A66A1" w14:paraId="605BECF3" w14:textId="77777777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14:paraId="2696F4D4" w14:textId="77777777" w:rsidR="0015289D" w:rsidRDefault="0015289D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Celková suma prostriedkov, ktorá je potrebná na obstaranie vybavenia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(vyjadrená s DPH)</w:t>
            </w:r>
          </w:p>
        </w:tc>
        <w:tc>
          <w:tcPr>
            <w:tcW w:w="6077" w:type="dxa"/>
            <w:gridSpan w:val="4"/>
            <w:vAlign w:val="center"/>
          </w:tcPr>
          <w:p w14:paraId="083B2736" w14:textId="77777777" w:rsidR="0015289D" w:rsidRPr="00D10A84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2A66A1" w14:paraId="73A59154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419E182B" w14:textId="61879167" w:rsidR="0015289D" w:rsidRPr="00D10A84" w:rsidRDefault="0015289D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Výška prostriedkov na obstaranie vybavenia, ktorá sa vyžaduje </w:t>
            </w:r>
            <w:r w:rsidR="00556C78">
              <w:rPr>
                <w:rFonts w:ascii="Calibri" w:hAnsi="Calibri"/>
                <w:sz w:val="22"/>
                <w:szCs w:val="22"/>
              </w:rPr>
              <w:t xml:space="preserve">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od Pokrajinského sekretariátu vzdelávania, predpisov, správy </w:t>
            </w:r>
            <w:r w:rsidR="00556C78">
              <w:rPr>
                <w:rFonts w:ascii="Calibri" w:hAnsi="Calibri"/>
                <w:sz w:val="22"/>
                <w:szCs w:val="22"/>
              </w:rPr>
              <w:t xml:space="preserve">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a národnostných menšín – národnostných spoločenstiev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(vyjadrená s DPH)</w:t>
            </w:r>
          </w:p>
        </w:tc>
        <w:tc>
          <w:tcPr>
            <w:tcW w:w="6077" w:type="dxa"/>
            <w:gridSpan w:val="4"/>
            <w:vAlign w:val="center"/>
          </w:tcPr>
          <w:p w14:paraId="6912070E" w14:textId="77777777" w:rsidR="0015289D" w:rsidRPr="007A5C80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261DE" w:rsidRPr="002A66A1" w14:paraId="1F58DD9E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31C53D46" w14:textId="77777777" w:rsidR="00A261DE" w:rsidRPr="00D10A84" w:rsidRDefault="00A261DE" w:rsidP="00936A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Suma prostriedkov na obstaranie vybavenia z iných zdrojov financovania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(vyjadrená s DPH)</w:t>
            </w:r>
          </w:p>
        </w:tc>
        <w:tc>
          <w:tcPr>
            <w:tcW w:w="6077" w:type="dxa"/>
            <w:gridSpan w:val="4"/>
            <w:vAlign w:val="center"/>
          </w:tcPr>
          <w:p w14:paraId="76CC86B6" w14:textId="77777777" w:rsidR="00A261DE" w:rsidRPr="007A5C80" w:rsidRDefault="00A261DE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14:paraId="420D23C4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2F3AC6A6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Obdobie obstarania vybavenia</w:t>
            </w:r>
          </w:p>
        </w:tc>
        <w:tc>
          <w:tcPr>
            <w:tcW w:w="6077" w:type="dxa"/>
            <w:gridSpan w:val="4"/>
            <w:vAlign w:val="center"/>
          </w:tcPr>
          <w:p w14:paraId="7CE39662" w14:textId="77777777"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B543E" w:rsidRPr="00342F7E" w14:paraId="23E38F93" w14:textId="77777777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14:paraId="0D21DAEA" w14:textId="7D188D26" w:rsidR="002B543E" w:rsidRDefault="00822958" w:rsidP="002B54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Celkový počet detí/</w:t>
            </w:r>
            <w:r w:rsidR="00060E4D">
              <w:rPr>
                <w:rFonts w:ascii="Calibri" w:hAnsi="Calibri"/>
                <w:sz w:val="22"/>
                <w:szCs w:val="22"/>
              </w:rPr>
              <w:t xml:space="preserve">žiakov </w:t>
            </w:r>
            <w:r w:rsidR="00556C78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="00060E4D">
              <w:rPr>
                <w:rFonts w:ascii="Calibri" w:hAnsi="Calibri"/>
                <w:sz w:val="22"/>
                <w:szCs w:val="22"/>
              </w:rPr>
              <w:t>v ustanovizni</w:t>
            </w:r>
          </w:p>
        </w:tc>
        <w:tc>
          <w:tcPr>
            <w:tcW w:w="1519" w:type="dxa"/>
            <w:vAlign w:val="center"/>
          </w:tcPr>
          <w:p w14:paraId="66D80C23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Počet</w:t>
            </w:r>
          </w:p>
        </w:tc>
        <w:tc>
          <w:tcPr>
            <w:tcW w:w="1519" w:type="dxa"/>
            <w:vAlign w:val="center"/>
          </w:tcPr>
          <w:p w14:paraId="09567F59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</w:t>
            </w:r>
          </w:p>
        </w:tc>
        <w:tc>
          <w:tcPr>
            <w:tcW w:w="1519" w:type="dxa"/>
            <w:vAlign w:val="center"/>
          </w:tcPr>
          <w:p w14:paraId="56602AA2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</w:t>
            </w:r>
          </w:p>
        </w:tc>
        <w:tc>
          <w:tcPr>
            <w:tcW w:w="1520" w:type="dxa"/>
            <w:vAlign w:val="center"/>
          </w:tcPr>
          <w:p w14:paraId="4250769F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Spolu</w:t>
            </w:r>
          </w:p>
        </w:tc>
      </w:tr>
      <w:tr w:rsidR="002B543E" w:rsidRPr="00342F7E" w14:paraId="516A5B57" w14:textId="77777777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14:paraId="6C07BDC3" w14:textId="77777777" w:rsidR="002B543E" w:rsidRDefault="002B543E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0007C6FF" w14:textId="1C4528BE" w:rsidR="002B543E" w:rsidRDefault="00822958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Detí/</w:t>
            </w:r>
            <w:r w:rsidR="00A6063B">
              <w:rPr>
                <w:rFonts w:ascii="Calibri" w:hAnsi="Calibri"/>
                <w:sz w:val="20"/>
                <w:szCs w:val="20"/>
              </w:rPr>
              <w:t xml:space="preserve">Žiakov </w:t>
            </w:r>
          </w:p>
        </w:tc>
        <w:tc>
          <w:tcPr>
            <w:tcW w:w="1519" w:type="dxa"/>
            <w:vAlign w:val="center"/>
          </w:tcPr>
          <w:p w14:paraId="4569E081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09D693BA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14:paraId="07EE060A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6063B" w:rsidRPr="00342F7E" w14:paraId="4C6B7816" w14:textId="77777777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14:paraId="783EEACC" w14:textId="22749223" w:rsidR="00A6063B" w:rsidRDefault="00822958" w:rsidP="002E18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Celkový počet detí/</w:t>
            </w:r>
            <w:r w:rsidR="00A6063B">
              <w:rPr>
                <w:rFonts w:ascii="Calibri" w:hAnsi="Calibri"/>
                <w:sz w:val="22"/>
                <w:szCs w:val="22"/>
              </w:rPr>
              <w:t xml:space="preserve">žiakov užívateľov obstaraného vybavenia </w:t>
            </w:r>
          </w:p>
        </w:tc>
        <w:tc>
          <w:tcPr>
            <w:tcW w:w="1519" w:type="dxa"/>
            <w:vAlign w:val="center"/>
          </w:tcPr>
          <w:p w14:paraId="20C29E48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Počet</w:t>
            </w:r>
          </w:p>
        </w:tc>
        <w:tc>
          <w:tcPr>
            <w:tcW w:w="1519" w:type="dxa"/>
            <w:vAlign w:val="center"/>
          </w:tcPr>
          <w:p w14:paraId="653EE188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</w:t>
            </w:r>
          </w:p>
        </w:tc>
        <w:tc>
          <w:tcPr>
            <w:tcW w:w="1519" w:type="dxa"/>
            <w:vAlign w:val="center"/>
          </w:tcPr>
          <w:p w14:paraId="385F1325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</w:t>
            </w:r>
          </w:p>
        </w:tc>
        <w:tc>
          <w:tcPr>
            <w:tcW w:w="1520" w:type="dxa"/>
            <w:vAlign w:val="center"/>
          </w:tcPr>
          <w:p w14:paraId="326E4C22" w14:textId="0532FD05" w:rsidR="00A6063B" w:rsidRDefault="00822958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Spolu</w:t>
            </w:r>
          </w:p>
        </w:tc>
      </w:tr>
      <w:tr w:rsidR="00A6063B" w:rsidRPr="00342F7E" w14:paraId="1C674D78" w14:textId="77777777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14:paraId="51EAC59F" w14:textId="77777777" w:rsidR="00A6063B" w:rsidRDefault="00A6063B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36AC589A" w14:textId="240EF12E" w:rsidR="00A6063B" w:rsidRDefault="00822958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Detí/</w:t>
            </w:r>
            <w:r w:rsidR="00556C78">
              <w:rPr>
                <w:rFonts w:ascii="Calibri" w:hAnsi="Calibri"/>
                <w:sz w:val="20"/>
                <w:szCs w:val="20"/>
              </w:rPr>
              <w:t>Ž</w:t>
            </w:r>
            <w:r w:rsidR="00A6063B">
              <w:rPr>
                <w:rFonts w:ascii="Calibri" w:hAnsi="Calibri"/>
                <w:sz w:val="20"/>
                <w:szCs w:val="20"/>
              </w:rPr>
              <w:t>iakov</w:t>
            </w:r>
          </w:p>
        </w:tc>
        <w:tc>
          <w:tcPr>
            <w:tcW w:w="1519" w:type="dxa"/>
            <w:vAlign w:val="center"/>
          </w:tcPr>
          <w:p w14:paraId="0CCFDEBF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1DA0EDDA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14:paraId="41D17AF8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14:paraId="4213B21C" w14:textId="77777777" w:rsidR="00334289" w:rsidRPr="00D10A84" w:rsidRDefault="00334289" w:rsidP="00334289">
      <w:pPr>
        <w:rPr>
          <w:rFonts w:ascii="Calibri" w:hAnsi="Calibri"/>
          <w:sz w:val="8"/>
          <w:szCs w:val="8"/>
          <w:lang w:val="ru-RU"/>
        </w:rPr>
      </w:pPr>
    </w:p>
    <w:p w14:paraId="08A4BAE3" w14:textId="77777777" w:rsidR="00334289" w:rsidRPr="00D10A84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51"/>
        <w:gridCol w:w="6912"/>
        <w:gridCol w:w="1651"/>
        <w:gridCol w:w="79"/>
      </w:tblGrid>
      <w:tr w:rsidR="00323DA7" w:rsidRPr="00342F7E" w14:paraId="2E707ED7" w14:textId="77777777" w:rsidTr="006F2103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32A23A5B" w14:textId="77777777" w:rsidR="00323DA7" w:rsidRPr="00FF6E1E" w:rsidRDefault="00323DA7" w:rsidP="003743E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14:paraId="14A58F20" w14:textId="77777777" w:rsidR="00323DA7" w:rsidRPr="003806B3" w:rsidRDefault="00323DA7" w:rsidP="00323DA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PLÁNOVANÉ NÁKLADY </w:t>
            </w:r>
          </w:p>
        </w:tc>
      </w:tr>
      <w:tr w:rsidR="00334289" w:rsidRPr="00D10A84" w14:paraId="2AD51D2C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2CBECB22" w14:textId="4B53F8A9" w:rsidR="00334289" w:rsidRPr="00D10A84" w:rsidRDefault="00822958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Poradové číslo/</w:t>
            </w:r>
            <w:r w:rsidR="00334289">
              <w:rPr>
                <w:rFonts w:ascii="Calibri" w:hAnsi="Calibri"/>
                <w:b/>
                <w:color w:val="000000"/>
                <w:sz w:val="22"/>
                <w:szCs w:val="22"/>
              </w:rPr>
              <w:t>Číslo priority</w:t>
            </w:r>
          </w:p>
        </w:tc>
        <w:tc>
          <w:tcPr>
            <w:tcW w:w="6912" w:type="dxa"/>
            <w:shd w:val="clear" w:color="auto" w:fill="auto"/>
          </w:tcPr>
          <w:p w14:paraId="2E83A6B4" w14:textId="77777777" w:rsidR="00334289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14:paraId="0B9F0895" w14:textId="77777777" w:rsidR="00334289" w:rsidRPr="005467D5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Názov vybavenia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6F18F0A7" w14:textId="0DC16958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Suma </w:t>
            </w:r>
            <w:r w:rsidR="00556C7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v dinároch</w:t>
            </w:r>
          </w:p>
        </w:tc>
      </w:tr>
      <w:tr w:rsidR="00334289" w:rsidRPr="00D10A84" w14:paraId="33594444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4CCCE70B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6BC86477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01C31069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798F74D1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29CC06C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528E9FF0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449A9694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35F22085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F8179F4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75303B36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565C81F3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640DAF3C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24D64E9B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4C92644E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271ECF91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09CC99DC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7C088E86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6F50A2F0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0387BF90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23DA7" w:rsidRPr="00D10A84" w14:paraId="4D64E238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9373649" w14:textId="77777777" w:rsidR="00323DA7" w:rsidRPr="00D10A84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262A4C30" w14:textId="77777777"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3FB993B8" w14:textId="77777777"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1C13BF4E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2475928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76343310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4B97DD5B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798E60FF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C9EE59C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36DB5615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17823740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69081FA5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662C132A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43E82E44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3D43B1C8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4946ACFD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77B2DC8C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23C3DE5F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2C36B190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2400C9CD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7675149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11A61C2A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2C93250A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186BE624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14:paraId="4D4A76CB" w14:textId="77777777" w:rsidR="00334289" w:rsidRPr="00D10A84" w:rsidRDefault="0033428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CELKOVÉ NÁKLADY: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3CBC21DD" w14:textId="77777777" w:rsidR="00334289" w:rsidRPr="00D10A84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7E68B829" w14:textId="77777777" w:rsidR="00334289" w:rsidRDefault="00334289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V tabuľkách poradové číslo označuje aj číslo priority.</w:t>
      </w:r>
    </w:p>
    <w:p w14:paraId="126DE8DF" w14:textId="77777777" w:rsidR="008473EE" w:rsidRDefault="008473EE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</w:p>
    <w:p w14:paraId="1D8B5CC0" w14:textId="77777777" w:rsidR="005A6DD6" w:rsidRPr="00CA359F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color w:val="FF0000"/>
          <w:u w:val="single"/>
          <w:lang w:val="ru-RU"/>
        </w:rPr>
      </w:pPr>
    </w:p>
    <w:p w14:paraId="0671EBE6" w14:textId="77777777" w:rsidR="00323DA7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14:paraId="5B73883B" w14:textId="77777777" w:rsidR="00C43E68" w:rsidRDefault="00C43E68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14:paraId="7A3E29AE" w14:textId="77777777" w:rsidR="00C43E68" w:rsidRPr="00817E17" w:rsidRDefault="00C43E68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14:paraId="3DD1E7C8" w14:textId="77777777" w:rsidR="005A6DD6" w:rsidRPr="00626D2E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14:paraId="38B5A8F7" w14:textId="77777777" w:rsidR="00334289" w:rsidRPr="00D10A84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334289" w:rsidRPr="00D10A84" w14:paraId="09C44F87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2C1FE63F" w14:textId="77777777"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5ED0C28C" w14:textId="1ECB5940" w:rsidR="00334289" w:rsidRPr="00D10A84" w:rsidRDefault="00822958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VYHLÁSENIE</w:t>
            </w:r>
          </w:p>
        </w:tc>
      </w:tr>
    </w:tbl>
    <w:p w14:paraId="4B2B9947" w14:textId="77777777" w:rsidR="00334289" w:rsidRPr="00D10A84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PRIJATÍ POVINNOSTI USTANOVIZNÍ, AK JE POKRAJINSKÝ SEKRETARIÁT FINANCIÉR ALEBO SPOLUFINANCIÉR OBSTARANIA VYBAVENIA </w:t>
      </w:r>
    </w:p>
    <w:p w14:paraId="62A40B36" w14:textId="77777777" w:rsidR="00334289" w:rsidRPr="00D10A84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Zodpovedná osoba v ustanovizni poskytuje vyhlásenie:   </w:t>
      </w:r>
    </w:p>
    <w:p w14:paraId="4A4F0F54" w14:textId="176E916D" w:rsidR="00334289" w:rsidRPr="0015289D" w:rsidRDefault="00556C78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bude </w:t>
      </w:r>
      <w:r w:rsidR="00334289">
        <w:rPr>
          <w:rFonts w:ascii="Calibri" w:hAnsi="Calibri"/>
          <w:sz w:val="22"/>
          <w:szCs w:val="22"/>
        </w:rPr>
        <w:t>obstarávať vybavenie v súlade s ustanoveniami Zákona o verejnom obstarávaní (vestník Službeni glasnik RS č. 91/2019 a 92/2023);</w:t>
      </w:r>
    </w:p>
    <w:p w14:paraId="560BD4E4" w14:textId="77777777" w:rsidR="00334289" w:rsidRDefault="00334289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účelovo a zákonne minie pridelené prostriedky; </w:t>
      </w:r>
    </w:p>
    <w:p w14:paraId="1EF324B1" w14:textId="77777777" w:rsidR="00334289" w:rsidRPr="00D10A84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že predloží správu o užívaní prostriedkov najneskôr do 15 dní po termíne stanovenom na splnenie účelu, na ktorý boli prostriedky získané, spolu s príslušnou dokumentáciou overenou zodpovednými osobami;</w:t>
      </w:r>
    </w:p>
    <w:p w14:paraId="70D3696C" w14:textId="695FD58D" w:rsidR="00334289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informuje verejnosť o tom, že </w:t>
      </w:r>
      <w:r w:rsidR="00822958">
        <w:rPr>
          <w:rFonts w:ascii="Calibri" w:hAnsi="Calibri"/>
          <w:sz w:val="22"/>
          <w:szCs w:val="22"/>
        </w:rPr>
        <w:t>obstaranie vybavenia financoval/</w:t>
      </w:r>
      <w:r>
        <w:rPr>
          <w:rFonts w:ascii="Calibri" w:hAnsi="Calibri"/>
          <w:sz w:val="22"/>
          <w:szCs w:val="22"/>
        </w:rPr>
        <w:t xml:space="preserve">spolufinancoval </w:t>
      </w: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sekretariát vzdelávania, predpisov, správy a národnostných menšín – národnostných spoločenstiev. </w:t>
      </w:r>
    </w:p>
    <w:p w14:paraId="79804D3E" w14:textId="77777777"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4A202AD9" w14:textId="77777777"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4F18B341" w14:textId="77777777" w:rsidR="00334289" w:rsidRPr="00D10A8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D10A84" w14:paraId="13655E23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01A19816" w14:textId="77777777" w:rsidR="00334289" w:rsidRPr="00D10A84" w:rsidRDefault="00334289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14:paraId="2F5444CE" w14:textId="77777777"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4EE0713F" w14:textId="77777777"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</w:t>
            </w:r>
          </w:p>
        </w:tc>
      </w:tr>
    </w:tbl>
    <w:p w14:paraId="32D91139" w14:textId="77777777" w:rsidR="00334289" w:rsidRPr="00FF6E1E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334289" w:rsidRPr="00D10A84" w14:paraId="78FAD9B2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4C768D80" w14:textId="77777777"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7B1F4083" w14:textId="77777777"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PRÍLOHY</w:t>
            </w:r>
          </w:p>
        </w:tc>
      </w:tr>
    </w:tbl>
    <w:p w14:paraId="4A7E8876" w14:textId="6335F41D" w:rsidR="00C167EF" w:rsidRPr="00556C78" w:rsidRDefault="006F2103" w:rsidP="00342F7E">
      <w:pPr>
        <w:numPr>
          <w:ilvl w:val="0"/>
          <w:numId w:val="2"/>
        </w:numPr>
        <w:jc w:val="both"/>
        <w:rPr>
          <w:sz w:val="22"/>
          <w:szCs w:val="22"/>
        </w:rPr>
      </w:pPr>
      <w:r w:rsidRPr="00556C78">
        <w:rPr>
          <w:rFonts w:ascii="Calibri" w:hAnsi="Calibri"/>
          <w:sz w:val="22"/>
          <w:szCs w:val="22"/>
        </w:rPr>
        <w:t>NEZÁVÄZNÁ PONUKA –  PREDÚČET NA KÚPU ZARIADENIA PRE VIDEODOHĽAD A PRIPOJENIE K MONITOROVACEJ MIESTNOSTI (V ŠPECIFIKOVANEJ PONUKE – PREDÚČTE BY MALA BYŤ HODNOTA ZARIADENIA VÄČŠIA AKO HODNOTA SLUŽBY INŠTALÁCIE ZARIADENIA);</w:t>
      </w:r>
    </w:p>
    <w:p w14:paraId="7345E803" w14:textId="07CDD134" w:rsidR="00936A20" w:rsidRPr="00556C78" w:rsidRDefault="00936A2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556C78">
        <w:rPr>
          <w:rFonts w:ascii="Calibri" w:hAnsi="Calibri"/>
          <w:sz w:val="22"/>
          <w:szCs w:val="22"/>
        </w:rPr>
        <w:t>V PRÍPADE SPOLUFINANCOVANIA POSKYTNÚŤ DÔKAZ O ZABEZPEČENÝCH PROSTRIEDKOCH NA SPOLUFINANCOVANIE OBSTARANIA VYBAVENIA (ZMLUVA, ROZHODNUTIE, VÝPIS Z ROZPOČTU JEDNOTKY LOKÁLNEJ SAMOSPRÁVY, FINANČNÉHO PLÁNU USTANOVIZNE A POD.) SPOLU S RIADNE PODPÍSANÝM A OPEČIATKOVANÝM VYHLÁSENÍM ZODPOVEDNEJ OSOBY USTANOVIZNE/JEDNOTKY LOKÁLNEJ SAMOSPRÁVY O ÚČASTI NA SPOLUFINANCOVANÍ PREDMETNÉHO VYBAVENIA (VYHLÁSENIE DORUČIŤ VO VOĽNEJ PODOBE)</w:t>
      </w:r>
      <w:r w:rsidR="00556C78" w:rsidRPr="00556C78">
        <w:rPr>
          <w:rFonts w:ascii="Calibri" w:hAnsi="Calibri"/>
          <w:sz w:val="22"/>
          <w:szCs w:val="22"/>
        </w:rPr>
        <w:t>;</w:t>
      </w:r>
      <w:r w:rsidRPr="00556C78">
        <w:rPr>
          <w:rFonts w:ascii="Calibri" w:hAnsi="Calibri"/>
          <w:sz w:val="22"/>
          <w:szCs w:val="22"/>
        </w:rPr>
        <w:t xml:space="preserve"> </w:t>
      </w:r>
    </w:p>
    <w:p w14:paraId="5BE2B06D" w14:textId="1FA3A7BA" w:rsidR="00817E17" w:rsidRPr="00556C78" w:rsidRDefault="0079050D" w:rsidP="00817E17">
      <w:pPr>
        <w:pStyle w:val="ListParagraph"/>
        <w:numPr>
          <w:ilvl w:val="0"/>
          <w:numId w:val="2"/>
        </w:numPr>
        <w:tabs>
          <w:tab w:val="left" w:pos="567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56C78">
        <w:rPr>
          <w:rFonts w:ascii="Calibri" w:hAnsi="Calibri"/>
          <w:color w:val="000000" w:themeColor="text1"/>
          <w:sz w:val="22"/>
          <w:szCs w:val="22"/>
        </w:rPr>
        <w:t>POTVRDENIE/VYHLÁSENIE LOKÁLNEJ SAMOSPRÁVY, NA ÚZEMÍ KTOREJ MÁ ŠKOLA SÍDLO, ŽE NAJNESKÔR DO 30. JÚNA 2025 ZAFINANCUJE VYBAVENIE MONITOROVACEJ MIESTNOSTI V PRIESTOROCH LOKÁLNEJ POLICAJNEJ STANICE/POBOČKY (AK EX</w:t>
      </w:r>
      <w:r w:rsidR="00822958">
        <w:rPr>
          <w:rFonts w:ascii="Calibri" w:hAnsi="Calibri"/>
          <w:color w:val="000000" w:themeColor="text1"/>
          <w:sz w:val="22"/>
          <w:szCs w:val="22"/>
        </w:rPr>
        <w:t>ISTUJE) ALEBO V PRIESTOROCH JLS.</w:t>
      </w:r>
      <w:bookmarkStart w:id="0" w:name="_GoBack"/>
      <w:bookmarkEnd w:id="0"/>
    </w:p>
    <w:p w14:paraId="229730D2" w14:textId="77777777" w:rsidR="0088766F" w:rsidRPr="00F5486B" w:rsidRDefault="0088766F" w:rsidP="0088766F">
      <w:pPr>
        <w:pStyle w:val="ListParagraph"/>
        <w:tabs>
          <w:tab w:val="left" w:pos="567"/>
        </w:tabs>
        <w:ind w:left="540"/>
        <w:jc w:val="both"/>
        <w:rPr>
          <w:rFonts w:ascii="Calibri" w:hAnsi="Calibri" w:cs="Calibri"/>
          <w:color w:val="000000" w:themeColor="text1"/>
          <w:sz w:val="22"/>
          <w:szCs w:val="22"/>
          <w:lang w:val="ru-RU"/>
        </w:rPr>
      </w:pPr>
    </w:p>
    <w:p w14:paraId="1D38BF5C" w14:textId="77777777" w:rsidR="00817E17" w:rsidRPr="008C53BA" w:rsidRDefault="00817E17" w:rsidP="00817E17">
      <w:pPr>
        <w:pStyle w:val="ListParagraph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sr-Cyrl-CS"/>
        </w:rPr>
      </w:pPr>
    </w:p>
    <w:p w14:paraId="2511E272" w14:textId="77777777" w:rsidR="00936A20" w:rsidRPr="00936A20" w:rsidRDefault="00936A20" w:rsidP="00936A20">
      <w:p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</w:p>
    <w:sectPr w:rsidR="00936A20" w:rsidRPr="00936A20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2015D"/>
    <w:rsid w:val="00060E4D"/>
    <w:rsid w:val="00091B22"/>
    <w:rsid w:val="000B7191"/>
    <w:rsid w:val="0015289D"/>
    <w:rsid w:val="001A0BDB"/>
    <w:rsid w:val="001E6A3B"/>
    <w:rsid w:val="002349EB"/>
    <w:rsid w:val="0024101A"/>
    <w:rsid w:val="00253A99"/>
    <w:rsid w:val="002A66A1"/>
    <w:rsid w:val="002B543E"/>
    <w:rsid w:val="002E188A"/>
    <w:rsid w:val="00323DA7"/>
    <w:rsid w:val="00332537"/>
    <w:rsid w:val="00334289"/>
    <w:rsid w:val="00342F7E"/>
    <w:rsid w:val="003A398C"/>
    <w:rsid w:val="0043564F"/>
    <w:rsid w:val="004F5201"/>
    <w:rsid w:val="00556C78"/>
    <w:rsid w:val="005A6DD6"/>
    <w:rsid w:val="005C7A69"/>
    <w:rsid w:val="00634BE1"/>
    <w:rsid w:val="00671E30"/>
    <w:rsid w:val="006F2103"/>
    <w:rsid w:val="0079050D"/>
    <w:rsid w:val="00814461"/>
    <w:rsid w:val="00817E17"/>
    <w:rsid w:val="00822958"/>
    <w:rsid w:val="008473EE"/>
    <w:rsid w:val="00864B54"/>
    <w:rsid w:val="00880EDA"/>
    <w:rsid w:val="0088766F"/>
    <w:rsid w:val="008B335E"/>
    <w:rsid w:val="008E0606"/>
    <w:rsid w:val="00936A20"/>
    <w:rsid w:val="009A323D"/>
    <w:rsid w:val="00A261DE"/>
    <w:rsid w:val="00A420AE"/>
    <w:rsid w:val="00A4416F"/>
    <w:rsid w:val="00A46AC5"/>
    <w:rsid w:val="00A6063B"/>
    <w:rsid w:val="00B25BC3"/>
    <w:rsid w:val="00B70760"/>
    <w:rsid w:val="00BD4F9D"/>
    <w:rsid w:val="00C433CC"/>
    <w:rsid w:val="00C43E68"/>
    <w:rsid w:val="00C77F8E"/>
    <w:rsid w:val="00CA359F"/>
    <w:rsid w:val="00CD09F0"/>
    <w:rsid w:val="00D04BE2"/>
    <w:rsid w:val="00D05728"/>
    <w:rsid w:val="00EB7B21"/>
    <w:rsid w:val="00F5486B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2C5B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99"/>
    <w:qFormat/>
    <w:rsid w:val="00936A2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8766F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8766F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EB7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B21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B21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Martina Bartosova</cp:lastModifiedBy>
  <cp:revision>7</cp:revision>
  <dcterms:created xsi:type="dcterms:W3CDTF">2024-09-05T06:58:00Z</dcterms:created>
  <dcterms:modified xsi:type="dcterms:W3CDTF">2024-09-06T07:57:00Z</dcterms:modified>
</cp:coreProperties>
</file>