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A29" w:rsidRPr="008D333A" w:rsidRDefault="00A71443">
      <w:pPr>
        <w:pStyle w:val="BodyText"/>
        <w:spacing w:before="85"/>
        <w:ind w:left="1954" w:right="3917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2pt;margin-top:4.3pt;width:514.65pt;height:120.65pt;z-index:251658240;mso-position-horizontal-relative:page" filled="f" stroked="f">
            <v:textbox inset="0,0,0,0">
              <w:txbxContent>
                <w:tbl>
                  <w:tblPr>
                    <w:tblW w:w="12506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76"/>
                    <w:gridCol w:w="1276"/>
                    <w:gridCol w:w="4819"/>
                    <w:gridCol w:w="3859"/>
                    <w:gridCol w:w="1276"/>
                  </w:tblGrid>
                  <w:tr w:rsidR="00A71443" w:rsidRPr="00D55CBA" w:rsidTr="00A71443">
                    <w:trPr>
                      <w:trHeight w:val="1975"/>
                    </w:trPr>
                    <w:tc>
                      <w:tcPr>
                        <w:tcW w:w="2552" w:type="dxa"/>
                        <w:gridSpan w:val="2"/>
                      </w:tcPr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ind w:left="-198" w:firstLine="108"/>
                          <w:rPr>
                            <w:rFonts w:cstheme="minorHAnsi"/>
                            <w:color w:val="000000"/>
                          </w:rPr>
                        </w:pPr>
                        <w:r w:rsidRPr="00D55CBA">
                          <w:rPr>
                            <w:rFonts w:cstheme="minorHAnsi"/>
                            <w:noProof/>
                            <w:color w:val="000000"/>
                            <w:lang w:val="sr-Latn-RS" w:eastAsia="sr-Latn-RS"/>
                          </w:rPr>
                          <w:drawing>
                            <wp:inline distT="0" distB="0" distL="0" distR="0" wp14:anchorId="325CC8C5" wp14:editId="2C8EFAE5">
                              <wp:extent cx="1487170" cy="962025"/>
                              <wp:effectExtent l="0" t="0" r="0" b="9525"/>
                              <wp:docPr id="2" name="Picture 2" descr="Description: ГРБОВИ ЗА МЕМОРАНДУМ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Description: ГРБОВИ ЗА МЕМОРАНДУМ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7170" cy="962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9954" w:type="dxa"/>
                        <w:gridSpan w:val="3"/>
                      </w:tcPr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cstheme="minorHAnsi"/>
                          </w:rPr>
                        </w:pPr>
                        <w:r>
                          <w:t>Republika Srbija</w:t>
                        </w:r>
                      </w:p>
                      <w:p w:rsidR="00A71443" w:rsidRPr="00D55CBA" w:rsidRDefault="00A71443" w:rsidP="00A71443">
                        <w:pPr>
                          <w:rPr>
                            <w:rFonts w:cstheme="minorHAnsi"/>
                          </w:rPr>
                        </w:pPr>
                        <w:r>
                          <w:t>Autonomna Pokrajina Vojvodina</w:t>
                        </w:r>
                      </w:p>
                      <w:p w:rsidR="00A71443" w:rsidRPr="00D55CBA" w:rsidRDefault="00A71443" w:rsidP="00A71443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b/>
                          </w:rPr>
                          <w:t>Pokrajinsko tajništvo za obrazovanje, propise,</w:t>
                        </w:r>
                      </w:p>
                      <w:p w:rsidR="00A71443" w:rsidRPr="00D55CBA" w:rsidRDefault="00A71443" w:rsidP="00A71443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b/>
                          </w:rPr>
                          <w:t>upravu i nacionalne manjine – nacionalne zajednice</w:t>
                        </w:r>
                      </w:p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cstheme="minorHAnsi"/>
                          </w:rPr>
                        </w:pPr>
                        <w:r>
                          <w:t>Bulevar Mihajla Pupina 16, 21000 Novi Sad</w:t>
                        </w:r>
                      </w:p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cstheme="minorHAnsi"/>
                          </w:rPr>
                        </w:pPr>
                        <w:r>
                          <w:t>T: +381 21  487 45 02</w:t>
                        </w:r>
                      </w:p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cstheme="minorHAnsi"/>
                          </w:rPr>
                        </w:pPr>
                        <w:hyperlink r:id="rId6" w:history="1">
                          <w:r>
                            <w:rPr>
                              <w:color w:val="0000FF"/>
                              <w:u w:val="single"/>
                            </w:rPr>
                            <w:t>ounz@vojvodina.gov.rs</w:t>
                          </w:r>
                        </w:hyperlink>
                      </w:p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cstheme="minorHAnsi"/>
                            <w:color w:val="000000"/>
                          </w:rPr>
                        </w:pPr>
                      </w:p>
                    </w:tc>
                  </w:tr>
                  <w:tr w:rsidR="00A71443" w:rsidRPr="00D55CBA" w:rsidTr="00A71443">
                    <w:trPr>
                      <w:gridAfter w:val="1"/>
                      <w:wAfter w:w="1276" w:type="dxa"/>
                      <w:trHeight w:val="305"/>
                    </w:trPr>
                    <w:tc>
                      <w:tcPr>
                        <w:tcW w:w="1276" w:type="dxa"/>
                      </w:tcPr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ind w:left="-198" w:firstLine="108"/>
                          <w:rPr>
                            <w:rFonts w:eastAsia="Calibri" w:cstheme="minorHAnsi"/>
                            <w:color w:val="000000"/>
                          </w:rPr>
                        </w:pPr>
                      </w:p>
                    </w:tc>
                    <w:tc>
                      <w:tcPr>
                        <w:tcW w:w="6095" w:type="dxa"/>
                        <w:gridSpan w:val="2"/>
                      </w:tcPr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eastAsia="Calibri" w:cstheme="minorHAnsi"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                 </w:t>
                        </w:r>
                        <w:r>
                          <w:rPr>
                            <w:color w:val="000000"/>
                          </w:rPr>
                          <w:t>KLASA: 002574714 2024 09427 001 001 000 001</w:t>
                        </w:r>
                      </w:p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eastAsia="Calibri" w:cstheme="minorHAnsi"/>
                            <w:color w:val="000000"/>
                          </w:rPr>
                        </w:pPr>
                      </w:p>
                    </w:tc>
                    <w:tc>
                      <w:tcPr>
                        <w:tcW w:w="3859" w:type="dxa"/>
                      </w:tcPr>
                      <w:p w:rsidR="00A71443" w:rsidRPr="00D55CBA" w:rsidRDefault="00A71443" w:rsidP="00A71443">
                        <w:pPr>
                          <w:tabs>
                            <w:tab w:val="center" w:pos="4703"/>
                            <w:tab w:val="right" w:pos="9406"/>
                          </w:tabs>
                          <w:rPr>
                            <w:rFonts w:eastAsia="Calibri" w:cstheme="minorHAnsi"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DATUM: 7</w:t>
                        </w:r>
                        <w:r>
                          <w:rPr>
                            <w:color w:val="000000"/>
                          </w:rPr>
                          <w:t>. 10.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2024. godine</w:t>
                        </w:r>
                      </w:p>
                    </w:tc>
                  </w:tr>
                </w:tbl>
                <w:p w:rsidR="00F73A29" w:rsidRDefault="00F73A29"/>
              </w:txbxContent>
            </v:textbox>
            <w10:wrap anchorx="page"/>
          </v:shape>
        </w:pict>
      </w: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rPr>
          <w:rFonts w:ascii="Calibri" w:eastAsia="Calibri" w:hAnsi="Calibri" w:cs="Calibri"/>
          <w:sz w:val="20"/>
          <w:szCs w:val="20"/>
        </w:rPr>
      </w:pPr>
    </w:p>
    <w:p w:rsidR="00F73A29" w:rsidRPr="008D333A" w:rsidRDefault="00F73A29">
      <w:pPr>
        <w:spacing w:before="6"/>
        <w:rPr>
          <w:rFonts w:ascii="Calibri" w:eastAsia="Calibri" w:hAnsi="Calibri" w:cs="Calibri"/>
          <w:sz w:val="15"/>
          <w:szCs w:val="15"/>
        </w:rPr>
      </w:pPr>
    </w:p>
    <w:p w:rsidR="00F73A29" w:rsidRPr="008D333A" w:rsidRDefault="00A71443" w:rsidP="00A71443">
      <w:pPr>
        <w:pStyle w:val="BodyText"/>
        <w:spacing w:before="56"/>
        <w:ind w:right="113" w:firstLine="540"/>
        <w:jc w:val="both"/>
      </w:pPr>
      <w:r>
        <w:t>Na temelju članaka 15., 16. stavka 5., članka 24. stavka 2.</w:t>
      </w:r>
      <w:r w:rsidR="008D333A">
        <w:t xml:space="preserve"> Pokrajinske skupštinske odluke o pokrajinskoj upravi („Službeni list APV“, broj: 37/14, 54/14 </w:t>
      </w:r>
      <w:r>
        <w:t>–</w:t>
      </w:r>
      <w:r w:rsidR="008D333A">
        <w:t xml:space="preserve"> dr. odluka, 37/16, 29/17, 24/2019, 66/2020 i 38/2021) i članka 9. stavka 1. Pravilnika o dodjeli proračunskih sredstava Pokrajinskog tajništva za obrazovanje, propise, upravu i nacionalne manjine </w:t>
      </w:r>
      <w:r>
        <w:t>–</w:t>
      </w:r>
      <w:r w:rsidR="008D333A">
        <w:t xml:space="preserve"> nacionalne zajednice za financiranje i sufinanciranje modernizacije infrastrukture ustanova osnovnog i srednjeg obrazovanja i odgoja i učeničkog standarda na teritoriju AP Vojvodine („Službeni list APV”, broj: 7/23, 5/24), a po provedenom Natječaju za financiranje i sufinanciranje nabave opreme – videonadzora u funkciji promoviranja i unaprjeđenja sigurnosti učenika za ustanove srednjeg obrazovanja i odgoja na teritoriju Autonomne Pokrajine Vojvodine u 2024. godini („Sl. list APV“, broj: 38/2024), pokrajinski tajnik za obrazovanje, propise, upravu i nacionalne manjine </w:t>
      </w:r>
      <w:r>
        <w:t>–</w:t>
      </w:r>
      <w:r w:rsidR="008D333A">
        <w:t xml:space="preserve"> nacionalne zajednice, d o n o s i:</w:t>
      </w:r>
      <w:bookmarkStart w:id="0" w:name="_GoBack"/>
      <w:bookmarkEnd w:id="0"/>
    </w:p>
    <w:p w:rsidR="00F73A29" w:rsidRPr="008D333A" w:rsidRDefault="00F73A29">
      <w:pPr>
        <w:rPr>
          <w:rFonts w:ascii="Calibri" w:eastAsia="Calibri" w:hAnsi="Calibri" w:cs="Calibri"/>
        </w:rPr>
      </w:pPr>
    </w:p>
    <w:p w:rsidR="00F73A29" w:rsidRPr="008D333A" w:rsidRDefault="008D333A" w:rsidP="00A71443">
      <w:pPr>
        <w:pStyle w:val="Heading1"/>
        <w:ind w:right="3917"/>
        <w:jc w:val="center"/>
        <w:rPr>
          <w:b w:val="0"/>
          <w:bCs w:val="0"/>
        </w:rPr>
      </w:pPr>
      <w:r>
        <w:t>RJEŠENJE O IZMJENI RJEŠENJA</w:t>
      </w:r>
    </w:p>
    <w:p w:rsidR="00A71443" w:rsidRDefault="008D333A" w:rsidP="00A71443">
      <w:pPr>
        <w:ind w:left="499" w:right="440" w:firstLine="2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O RASPODJELI SREDSTAVA PO NATJEČAJU ZA FINANCIRANJE</w:t>
      </w:r>
      <w:r w:rsidR="00A71443">
        <w:rPr>
          <w:rFonts w:ascii="Calibri" w:hAnsi="Calibri"/>
          <w:b/>
        </w:rPr>
        <w:t xml:space="preserve"> I SUFINANCIRANJE NABAVE OPREME</w:t>
      </w:r>
      <w:r>
        <w:rPr>
          <w:rFonts w:ascii="Calibri" w:hAnsi="Calibri"/>
          <w:b/>
        </w:rPr>
        <w:t xml:space="preserve"> </w:t>
      </w:r>
      <w:r w:rsidR="00A71443">
        <w:rPr>
          <w:rFonts w:ascii="Calibri" w:hAnsi="Calibri"/>
          <w:b/>
        </w:rPr>
        <w:t>–</w:t>
      </w:r>
      <w:r>
        <w:rPr>
          <w:rFonts w:ascii="Calibri" w:hAnsi="Calibri"/>
          <w:b/>
        </w:rPr>
        <w:t xml:space="preserve"> VIDEONADZORA U FUNKCIJI PROMOVIRANJA I UNAPRJEĐENJA SIGURNOSTI UČENIKA </w:t>
      </w:r>
    </w:p>
    <w:p w:rsidR="00A71443" w:rsidRDefault="008D333A" w:rsidP="00A71443">
      <w:pPr>
        <w:ind w:left="499" w:right="440" w:firstLine="2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ZA USTANOVE SREDNJEG OBRAZOVANJA I ODGOJA</w:t>
      </w:r>
    </w:p>
    <w:p w:rsidR="00A71443" w:rsidRDefault="008D333A" w:rsidP="00A71443">
      <w:pPr>
        <w:ind w:left="499" w:right="440" w:firstLine="2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NA TERITORIJU AUTONOMNE POKRAJINE VOJVODINE U 2024.</w:t>
      </w:r>
      <w:r w:rsidR="00A71443">
        <w:rPr>
          <w:rFonts w:ascii="Calibri" w:eastAsia="Calibri" w:hAnsi="Calibri" w:cs="Calibri"/>
        </w:rPr>
        <w:t xml:space="preserve"> </w:t>
      </w:r>
      <w:r>
        <w:rPr>
          <w:rFonts w:ascii="Calibri" w:hAnsi="Calibri"/>
          <w:b/>
        </w:rPr>
        <w:t xml:space="preserve">GODINI </w:t>
      </w:r>
    </w:p>
    <w:p w:rsidR="00A71443" w:rsidRDefault="00A71443" w:rsidP="00A71443">
      <w:pPr>
        <w:ind w:left="499" w:right="440" w:firstLine="26"/>
        <w:jc w:val="center"/>
        <w:rPr>
          <w:rFonts w:ascii="Calibri" w:hAnsi="Calibri"/>
          <w:b/>
        </w:rPr>
      </w:pPr>
    </w:p>
    <w:p w:rsidR="00F73A29" w:rsidRDefault="008D333A" w:rsidP="00A71443">
      <w:pPr>
        <w:ind w:left="499" w:right="440" w:firstLine="2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I.</w:t>
      </w:r>
    </w:p>
    <w:p w:rsidR="00A71443" w:rsidRPr="008D333A" w:rsidRDefault="00A71443" w:rsidP="00A71443">
      <w:pPr>
        <w:ind w:left="499" w:right="440" w:firstLine="26"/>
        <w:jc w:val="center"/>
        <w:rPr>
          <w:rFonts w:ascii="Calibri" w:eastAsia="Calibri" w:hAnsi="Calibri" w:cs="Calibri"/>
        </w:rPr>
      </w:pPr>
    </w:p>
    <w:p w:rsidR="00F73A29" w:rsidRPr="008D333A" w:rsidRDefault="008D333A">
      <w:pPr>
        <w:pStyle w:val="BodyText"/>
        <w:ind w:right="111" w:firstLine="448"/>
        <w:jc w:val="both"/>
      </w:pPr>
      <w:r>
        <w:t>Ovim rješenjem mijenja se stavak II. Rješenja o raspodjeli sredstava po Natječaju za financiranje i sufinanciranje nabave opreme – videonadzora u funkciji promoviranja i unaprjeđenja sigurnosti učenika za ustanove srednjeg obrazovanja i odgoja na teritoriju Autonomne Pokrajine Vojvodine u 2024. godini, klasa: 002574714 2024 09427 001 001 000 001 od 6. 9. 2024. godine („Službeni list APV“, broj: 38/2024 – u daljnjem tekstu: Natječaj), te stavak II. Rješenja sada glasi:</w:t>
      </w:r>
    </w:p>
    <w:p w:rsidR="00F73A29" w:rsidRPr="008D333A" w:rsidRDefault="00F73A29">
      <w:pPr>
        <w:rPr>
          <w:rFonts w:ascii="Calibri" w:eastAsia="Calibri" w:hAnsi="Calibri" w:cs="Calibri"/>
        </w:rPr>
      </w:pPr>
    </w:p>
    <w:p w:rsidR="00F73A29" w:rsidRPr="008D333A" w:rsidRDefault="008D333A">
      <w:pPr>
        <w:ind w:left="180" w:right="110" w:firstLine="549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„Natječajem je </w:t>
      </w:r>
      <w:r>
        <w:rPr>
          <w:rFonts w:ascii="Calibri" w:hAnsi="Calibri"/>
          <w:b/>
        </w:rPr>
        <w:t xml:space="preserve">opredijeljeno ukupno 60.000.000,00 dinara </w:t>
      </w:r>
      <w:r>
        <w:rPr>
          <w:rFonts w:ascii="Calibri" w:hAnsi="Calibri"/>
        </w:rPr>
        <w:t>za nam</w:t>
      </w:r>
      <w:r w:rsidR="00A71443">
        <w:rPr>
          <w:rFonts w:ascii="Calibri" w:hAnsi="Calibri"/>
        </w:rPr>
        <w:t>jenu iz točke I. ovog rješenja.</w:t>
      </w:r>
      <w:r>
        <w:rPr>
          <w:rFonts w:ascii="Calibri" w:hAnsi="Calibri"/>
        </w:rPr>
        <w:t xml:space="preserve"> Ovim rješenjem obavlja se raspodjela sredstava u ukupnom iznosu od </w:t>
      </w:r>
      <w:r>
        <w:rPr>
          <w:rFonts w:ascii="Calibri" w:hAnsi="Calibri"/>
          <w:b/>
        </w:rPr>
        <w:t>59.613.455,03 dinara</w:t>
      </w:r>
      <w:r>
        <w:rPr>
          <w:rFonts w:ascii="Calibri" w:hAnsi="Calibri"/>
        </w:rPr>
        <w:t xml:space="preserve">, a sredstva u iznosu od </w:t>
      </w:r>
      <w:r>
        <w:rPr>
          <w:rFonts w:ascii="Calibri" w:hAnsi="Calibri"/>
          <w:b/>
        </w:rPr>
        <w:t>386.544,97 dinara</w:t>
      </w:r>
      <w:r>
        <w:rPr>
          <w:rFonts w:ascii="Calibri" w:hAnsi="Calibri"/>
        </w:rPr>
        <w:t xml:space="preserve"> ostaju neraspoređena.“</w:t>
      </w:r>
    </w:p>
    <w:p w:rsidR="00F73A29" w:rsidRPr="008D333A" w:rsidRDefault="00F73A29">
      <w:pPr>
        <w:rPr>
          <w:rFonts w:ascii="Calibri" w:eastAsia="Calibri" w:hAnsi="Calibri" w:cs="Calibri"/>
        </w:rPr>
      </w:pPr>
    </w:p>
    <w:p w:rsidR="00F73A29" w:rsidRPr="00A71443" w:rsidRDefault="008D333A" w:rsidP="00A71443">
      <w:pPr>
        <w:ind w:left="499" w:right="440" w:firstLine="26"/>
        <w:jc w:val="center"/>
        <w:rPr>
          <w:rFonts w:ascii="Calibri" w:hAnsi="Calibri"/>
          <w:b/>
        </w:rPr>
      </w:pPr>
      <w:r w:rsidRPr="00A71443">
        <w:rPr>
          <w:rFonts w:ascii="Calibri" w:hAnsi="Calibri"/>
          <w:b/>
        </w:rPr>
        <w:t>II.</w:t>
      </w:r>
    </w:p>
    <w:p w:rsidR="00A71443" w:rsidRPr="008D333A" w:rsidRDefault="00A71443">
      <w:pPr>
        <w:pStyle w:val="Heading1"/>
        <w:ind w:left="3685" w:right="3917"/>
        <w:jc w:val="center"/>
        <w:rPr>
          <w:rFonts w:cs="Calibri"/>
          <w:b w:val="0"/>
          <w:bCs w:val="0"/>
        </w:rPr>
      </w:pPr>
    </w:p>
    <w:p w:rsidR="00F73A29" w:rsidRPr="008D333A" w:rsidRDefault="008D333A" w:rsidP="00A71443">
      <w:pPr>
        <w:pStyle w:val="BodyText"/>
        <w:spacing w:before="38"/>
        <w:ind w:left="709"/>
      </w:pPr>
      <w:r>
        <w:t>Ostale odredbe Rješenja ostaju nepromijenjene.</w:t>
      </w:r>
    </w:p>
    <w:p w:rsidR="00F73A29" w:rsidRPr="008D333A" w:rsidRDefault="00F73A29">
      <w:pPr>
        <w:rPr>
          <w:rFonts w:ascii="Calibri" w:eastAsia="Calibri" w:hAnsi="Calibri" w:cs="Calibri"/>
        </w:rPr>
      </w:pPr>
    </w:p>
    <w:p w:rsidR="00A71443" w:rsidRDefault="00A71443" w:rsidP="00A71443">
      <w:pPr>
        <w:ind w:left="499" w:right="440" w:firstLine="26"/>
        <w:jc w:val="center"/>
        <w:rPr>
          <w:rFonts w:ascii="Calibri" w:hAnsi="Calibri"/>
          <w:b/>
        </w:rPr>
      </w:pPr>
      <w:r w:rsidRPr="00A71443">
        <w:rPr>
          <w:rFonts w:ascii="Calibri" w:hAnsi="Calibri"/>
          <w:b/>
        </w:rPr>
        <w:t>III.</w:t>
      </w:r>
    </w:p>
    <w:p w:rsidR="00A71443" w:rsidRPr="00A71443" w:rsidRDefault="00A71443" w:rsidP="00A71443">
      <w:pPr>
        <w:ind w:left="499" w:right="440" w:firstLine="26"/>
        <w:jc w:val="center"/>
        <w:rPr>
          <w:rFonts w:ascii="Calibri" w:hAnsi="Calibri"/>
          <w:b/>
        </w:rPr>
      </w:pPr>
    </w:p>
    <w:p w:rsidR="00F73A29" w:rsidRPr="008D333A" w:rsidRDefault="008D333A" w:rsidP="00A71443">
      <w:pPr>
        <w:pStyle w:val="BodyText"/>
        <w:spacing w:before="1"/>
        <w:ind w:left="709"/>
      </w:pPr>
      <w:r>
        <w:t>Ovo rješenje je konačno i protiv njega se ne može uložiti žalba.</w:t>
      </w:r>
    </w:p>
    <w:p w:rsidR="00F73A29" w:rsidRPr="008D333A" w:rsidRDefault="00F73A29">
      <w:pPr>
        <w:rPr>
          <w:rFonts w:ascii="Calibri" w:eastAsia="Calibri" w:hAnsi="Calibri" w:cs="Calibri"/>
        </w:rPr>
      </w:pPr>
    </w:p>
    <w:p w:rsidR="00F73A29" w:rsidRPr="008D333A" w:rsidRDefault="008D333A">
      <w:pPr>
        <w:pStyle w:val="Heading1"/>
        <w:ind w:left="180"/>
        <w:rPr>
          <w:b w:val="0"/>
          <w:bCs w:val="0"/>
        </w:rPr>
      </w:pPr>
      <w:r>
        <w:t>Rješenje dostaviti:</w:t>
      </w:r>
    </w:p>
    <w:p w:rsidR="00F73A29" w:rsidRPr="008D333A" w:rsidRDefault="00F73A29">
      <w:pPr>
        <w:rPr>
          <w:rFonts w:ascii="Calibri" w:eastAsia="Calibri" w:hAnsi="Calibri" w:cs="Calibri"/>
          <w:b/>
          <w:bCs/>
        </w:rPr>
      </w:pPr>
    </w:p>
    <w:p w:rsidR="00F73A29" w:rsidRPr="008D333A" w:rsidRDefault="008D333A">
      <w:pPr>
        <w:pStyle w:val="ListParagraph"/>
        <w:numPr>
          <w:ilvl w:val="0"/>
          <w:numId w:val="1"/>
        </w:numPr>
        <w:tabs>
          <w:tab w:val="left" w:pos="901"/>
        </w:tabs>
        <w:ind w:hanging="360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Sektoru za materijalno-financijske poslove Tajništva</w:t>
      </w:r>
    </w:p>
    <w:p w:rsidR="00F73A29" w:rsidRPr="008D333A" w:rsidRDefault="008D333A">
      <w:pPr>
        <w:pStyle w:val="ListParagraph"/>
        <w:numPr>
          <w:ilvl w:val="0"/>
          <w:numId w:val="1"/>
        </w:numPr>
        <w:tabs>
          <w:tab w:val="left" w:pos="901"/>
        </w:tabs>
        <w:ind w:hanging="360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Pismohrani</w:t>
      </w:r>
    </w:p>
    <w:p w:rsidR="00F73A29" w:rsidRPr="008D333A" w:rsidRDefault="00F73A29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F73A29" w:rsidRPr="008D333A" w:rsidRDefault="008D333A">
      <w:pPr>
        <w:pStyle w:val="Heading1"/>
        <w:ind w:left="0" w:right="614"/>
        <w:jc w:val="right"/>
        <w:rPr>
          <w:b w:val="0"/>
          <w:bCs w:val="0"/>
        </w:rPr>
      </w:pPr>
      <w:r>
        <w:t>POKRAJINSKI TAJNIK</w:t>
      </w:r>
    </w:p>
    <w:p w:rsidR="00F73A29" w:rsidRPr="008D333A" w:rsidRDefault="008D333A">
      <w:pPr>
        <w:ind w:left="8358" w:right="1115" w:hanging="99"/>
        <w:jc w:val="center"/>
        <w:rPr>
          <w:rFonts w:ascii="Calibri" w:eastAsia="Calibri" w:hAnsi="Calibri" w:cs="Calibri"/>
        </w:rPr>
      </w:pPr>
      <w:r>
        <w:rPr>
          <w:rFonts w:ascii="Calibri" w:hAnsi="Calibri"/>
          <w:b/>
        </w:rPr>
        <w:t>Róbert Ótott</w:t>
      </w:r>
    </w:p>
    <w:sectPr w:rsidR="00F73A29" w:rsidRPr="008D333A">
      <w:type w:val="continuous"/>
      <w:pgSz w:w="11910" w:h="16840"/>
      <w:pgMar w:top="620" w:right="6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05FCE"/>
    <w:multiLevelType w:val="hybridMultilevel"/>
    <w:tmpl w:val="413CF694"/>
    <w:lvl w:ilvl="0" w:tplc="1EC6DED8">
      <w:start w:val="1"/>
      <w:numFmt w:val="decimal"/>
      <w:lvlText w:val="%1."/>
      <w:lvlJc w:val="left"/>
      <w:pPr>
        <w:ind w:left="900" w:hanging="361"/>
      </w:pPr>
      <w:rPr>
        <w:rFonts w:ascii="Calibri" w:eastAsia="Calibri" w:hAnsi="Calibri" w:hint="default"/>
        <w:w w:val="100"/>
        <w:sz w:val="22"/>
        <w:szCs w:val="22"/>
      </w:rPr>
    </w:lvl>
    <w:lvl w:ilvl="1" w:tplc="A8E86050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2" w:tplc="57B65E7E">
      <w:start w:val="1"/>
      <w:numFmt w:val="bullet"/>
      <w:lvlText w:val="•"/>
      <w:lvlJc w:val="left"/>
      <w:pPr>
        <w:ind w:left="2873" w:hanging="361"/>
      </w:pPr>
      <w:rPr>
        <w:rFonts w:hint="default"/>
      </w:rPr>
    </w:lvl>
    <w:lvl w:ilvl="3" w:tplc="9DE28C44">
      <w:start w:val="1"/>
      <w:numFmt w:val="bullet"/>
      <w:lvlText w:val="•"/>
      <w:lvlJc w:val="left"/>
      <w:pPr>
        <w:ind w:left="3860" w:hanging="361"/>
      </w:pPr>
      <w:rPr>
        <w:rFonts w:hint="default"/>
      </w:rPr>
    </w:lvl>
    <w:lvl w:ilvl="4" w:tplc="A164E7DC">
      <w:start w:val="1"/>
      <w:numFmt w:val="bullet"/>
      <w:lvlText w:val="•"/>
      <w:lvlJc w:val="left"/>
      <w:pPr>
        <w:ind w:left="4847" w:hanging="361"/>
      </w:pPr>
      <w:rPr>
        <w:rFonts w:hint="default"/>
      </w:rPr>
    </w:lvl>
    <w:lvl w:ilvl="5" w:tplc="800E29C8">
      <w:start w:val="1"/>
      <w:numFmt w:val="bullet"/>
      <w:lvlText w:val="•"/>
      <w:lvlJc w:val="left"/>
      <w:pPr>
        <w:ind w:left="5834" w:hanging="361"/>
      </w:pPr>
      <w:rPr>
        <w:rFonts w:hint="default"/>
      </w:rPr>
    </w:lvl>
    <w:lvl w:ilvl="6" w:tplc="3BEE7B18">
      <w:start w:val="1"/>
      <w:numFmt w:val="bullet"/>
      <w:lvlText w:val="•"/>
      <w:lvlJc w:val="left"/>
      <w:pPr>
        <w:ind w:left="6821" w:hanging="361"/>
      </w:pPr>
      <w:rPr>
        <w:rFonts w:hint="default"/>
      </w:rPr>
    </w:lvl>
    <w:lvl w:ilvl="7" w:tplc="B2CCDF8A">
      <w:start w:val="1"/>
      <w:numFmt w:val="bullet"/>
      <w:lvlText w:val="•"/>
      <w:lvlJc w:val="left"/>
      <w:pPr>
        <w:ind w:left="7808" w:hanging="361"/>
      </w:pPr>
      <w:rPr>
        <w:rFonts w:hint="default"/>
      </w:rPr>
    </w:lvl>
    <w:lvl w:ilvl="8" w:tplc="381AD0C4">
      <w:start w:val="1"/>
      <w:numFmt w:val="bullet"/>
      <w:lvlText w:val="•"/>
      <w:lvlJc w:val="left"/>
      <w:pPr>
        <w:ind w:left="8795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73A29"/>
    <w:rsid w:val="008D333A"/>
    <w:rsid w:val="00A71443"/>
    <w:rsid w:val="00F7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8837E73-0652-4672-A6BC-3A1715F3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98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8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Hrvoje Kenjerić</cp:lastModifiedBy>
  <cp:revision>5</cp:revision>
  <dcterms:created xsi:type="dcterms:W3CDTF">2024-10-09T09:51:00Z</dcterms:created>
  <dcterms:modified xsi:type="dcterms:W3CDTF">2024-10-09T08:09:00Z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