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EF5613" w:rsidRPr="00AD0361" w14:paraId="0CEF61F6" w14:textId="77777777" w:rsidTr="0058638B">
        <w:trPr>
          <w:trHeight w:val="1975"/>
        </w:trPr>
        <w:tc>
          <w:tcPr>
            <w:tcW w:w="2552" w:type="dxa"/>
            <w:gridSpan w:val="2"/>
          </w:tcPr>
          <w:p w14:paraId="51689722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7EDA2602" wp14:editId="11F10EDE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14:paraId="347AC83F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Srbská republika</w:t>
            </w:r>
          </w:p>
          <w:p w14:paraId="6560EB02" w14:textId="77777777" w:rsidR="00EF5613" w:rsidRPr="00AD0361" w:rsidRDefault="00EF5613" w:rsidP="005863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Autonómna pokrajina Vojvodina</w:t>
            </w:r>
          </w:p>
          <w:p w14:paraId="52248890" w14:textId="77777777" w:rsidR="00EF5613" w:rsidRPr="00AD0361" w:rsidRDefault="00EF5613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Pokrajinský sekretariát vzdelávania, predpisov,</w:t>
            </w:r>
          </w:p>
          <w:p w14:paraId="5E97D82C" w14:textId="77777777" w:rsidR="00EF5613" w:rsidRPr="00AD0361" w:rsidRDefault="00EF5613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správy a národnostných menšín – národnostných spoločenstiev</w:t>
            </w:r>
          </w:p>
          <w:p w14:paraId="024D045A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Bulvár Mihajla Pupina 16, 21 000 Nový Sad</w:t>
            </w:r>
          </w:p>
          <w:p w14:paraId="5FACA78B" w14:textId="58EA1262" w:rsidR="00EF5613" w:rsidRPr="009F52E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T: +381 21487 45 02</w:t>
            </w:r>
          </w:p>
          <w:p w14:paraId="7DA457D6" w14:textId="77777777" w:rsidR="00EF5613" w:rsidRPr="00AD0361" w:rsidRDefault="00B71FA0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FB3EB4">
                <w:rPr>
                  <w:rFonts w:asciiTheme="minorHAnsi" w:hAnsiTheme="minorHAnsi"/>
                  <w:color w:val="0000FF"/>
                  <w:sz w:val="22"/>
                  <w:szCs w:val="22"/>
                  <w:u w:val="single"/>
                </w:rPr>
                <w:t>ounz@vojvodinа.gov.rs</w:t>
              </w:r>
            </w:hyperlink>
          </w:p>
          <w:p w14:paraId="24CAA381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  <w:tr w:rsidR="00EF5613" w:rsidRPr="00AD0361" w14:paraId="560C3B52" w14:textId="77777777" w:rsidTr="009F52E1">
        <w:trPr>
          <w:gridAfter w:val="1"/>
          <w:wAfter w:w="1276" w:type="dxa"/>
          <w:trHeight w:val="305"/>
        </w:trPr>
        <w:tc>
          <w:tcPr>
            <w:tcW w:w="1276" w:type="dxa"/>
          </w:tcPr>
          <w:p w14:paraId="568DC287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4646" w:type="dxa"/>
            <w:gridSpan w:val="2"/>
          </w:tcPr>
          <w:p w14:paraId="176C9CAC" w14:textId="0835BB12" w:rsidR="00EF5613" w:rsidRPr="009F52E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ČÍSLO: 002574714 2024 09427 001 001 000 001</w:t>
            </w:r>
          </w:p>
          <w:p w14:paraId="3CC32DFA" w14:textId="77777777"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</w:tcPr>
          <w:p w14:paraId="26C7B234" w14:textId="3C7C3EC6" w:rsidR="00EF5613" w:rsidRPr="00AD0361" w:rsidRDefault="00EF5613" w:rsidP="00FC14C3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DÁTUM: 4. 10. 2024</w:t>
            </w:r>
          </w:p>
        </w:tc>
      </w:tr>
    </w:tbl>
    <w:p w14:paraId="2E4CAF1A" w14:textId="77777777" w:rsidR="009C6A1C" w:rsidRPr="00AD0361" w:rsidRDefault="009C6A1C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</w:p>
    <w:p w14:paraId="4EE64B04" w14:textId="0031FEA4" w:rsidR="00EF5613" w:rsidRPr="00AD0361" w:rsidRDefault="00EF5613" w:rsidP="00EF56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Podľa článku 15, 16 odsek 5 a článku 24 odsek 2 Pokrajinského parlamentného uznesenia o pokrajinskej správe (Úradný vestník APV č. 37/14, 54/14 – iné uznesenie, 37/16, 29/17, 24/2019, 66/2020 a 38/2021) a článku 9 odsek 1 Pravidiel o pridelení rozpočtových prostriedkov Pokrajinského sekretariátu vzdelávania, predpisov, správy a národnostných menšín – národnostných spoločenstiev na financovanie a spolufinancovanie modernizácie infraštruktúry ustanovizní základnej a strednej výchovy a vzdelávania a žiackeho štandardu na území AP Vojvodiny (Úradný vestník APV číslo 7/23 a 54/24) a po uskutočnenom Súbehu na financovanie a spolufinancovanie </w:t>
      </w:r>
      <w:r>
        <w:rPr>
          <w:rFonts w:asciiTheme="minorHAnsi" w:hAnsiTheme="minorHAnsi"/>
          <w:color w:val="000000"/>
          <w:sz w:val="22"/>
          <w:szCs w:val="22"/>
        </w:rPr>
        <w:t xml:space="preserve">obstaranie výbavy – videodozora vo funkcii podpory a zvyšovania bezpečnosti žiakov pre ustanovizne základnej a strednej výchovy a vzdelávania na území Autonómnej pokrajiny Vojvodiny v roku 2024 </w:t>
      </w:r>
      <w:r>
        <w:rPr>
          <w:rFonts w:asciiTheme="minorHAnsi" w:hAnsiTheme="minorHAnsi"/>
          <w:sz w:val="22"/>
          <w:szCs w:val="22"/>
        </w:rPr>
        <w:t>(Úradný vestník APV,  č. 38/2024), pokrajinský tajomník vzdelávania, predpisov, správy a národnostných menšín – národnostných spoločenstiev vynáša:</w:t>
      </w:r>
    </w:p>
    <w:p w14:paraId="5C33EDCB" w14:textId="77777777" w:rsidR="00BC3AB3" w:rsidRPr="00AD0361" w:rsidRDefault="00BC3AB3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</w:p>
    <w:p w14:paraId="2E893F1B" w14:textId="77777777" w:rsidR="006005B4" w:rsidRPr="00482348" w:rsidRDefault="00EF5613" w:rsidP="00BD29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ROZHODNUTIE </w:t>
      </w:r>
    </w:p>
    <w:p w14:paraId="14E264AA" w14:textId="20AF7CAC" w:rsidR="00BD29CA" w:rsidRPr="00482348" w:rsidRDefault="00BD29CA" w:rsidP="00EF561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 ROZVRHNUTÍ PROSTRIEDKOV NA FINANCOVANIE A SPOLUFINANCOVANIE OBSTARANIA ZARIADENIA – VIDEO DOHĽADU VO FUNKCII PODPORY A ZVYŠOVANIA BEZPEČNOSTI ŽIAKOV PRE USTANOVIZNE STREDNÉHO VZDELÁVANIA A VÝCHOVY NA ÚZEMÍ AUTONÓMNEJ P</w:t>
      </w:r>
      <w:r w:rsidR="00B554A3">
        <w:rPr>
          <w:rFonts w:asciiTheme="minorHAnsi" w:hAnsiTheme="minorHAnsi"/>
          <w:b/>
          <w:sz w:val="22"/>
          <w:szCs w:val="22"/>
        </w:rPr>
        <w:t>OKRAJINY VOJVODINY V ROKU 2024</w:t>
      </w:r>
    </w:p>
    <w:p w14:paraId="0509EBE6" w14:textId="77777777" w:rsidR="006005B4" w:rsidRPr="00AD0361" w:rsidRDefault="006005B4" w:rsidP="00EF5613">
      <w:pPr>
        <w:jc w:val="center"/>
        <w:rPr>
          <w:rFonts w:asciiTheme="minorHAnsi" w:hAnsiTheme="minorHAnsi" w:cstheme="minorHAnsi"/>
          <w:b/>
          <w:color w:val="0070C0"/>
          <w:sz w:val="22"/>
          <w:szCs w:val="22"/>
          <w:lang w:val="sr-Cyrl-RS"/>
        </w:rPr>
      </w:pPr>
    </w:p>
    <w:p w14:paraId="4C3C9277" w14:textId="77777777"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I.</w:t>
      </w:r>
    </w:p>
    <w:p w14:paraId="4ACBCEB9" w14:textId="77777777"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07C673D7" w14:textId="28FEA5C0" w:rsidR="00EF5613" w:rsidRPr="00CD7134" w:rsidRDefault="00BC3AB3" w:rsidP="00CD7134">
      <w:pPr>
        <w:tabs>
          <w:tab w:val="center" w:pos="4703"/>
          <w:tab w:val="right" w:pos="9406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</w:t>
      </w:r>
      <w:r>
        <w:rPr>
          <w:rFonts w:asciiTheme="minorHAnsi" w:hAnsiTheme="minorHAnsi"/>
          <w:sz w:val="22"/>
          <w:szCs w:val="22"/>
        </w:rPr>
        <w:t xml:space="preserve">Týmto rozhodnutím sa určuje rozdelenie rozpočtových prostriedkov Pokrajinského sekretariátu vzdelávania, predpisov, správy a národnostných menšín – národnostných spoločenstiev podľa Súbehu o financovanie a spolufinancovanie programov a projektov na zvyšovanie kvality základného a stredného vzdelávania –  obstaranie zariadenia – video dohľadu vo funkcii podpora a zvyšovania bezpečnosti žiakov ustanovizní základnej a strednej výchovy a vzdelávania na území Autonómnej pokrajiny Vojvodiny v roku 2024, číslo:  </w:t>
      </w:r>
      <w:r>
        <w:rPr>
          <w:rFonts w:asciiTheme="minorHAnsi" w:hAnsiTheme="minorHAnsi"/>
          <w:color w:val="000000"/>
          <w:sz w:val="22"/>
          <w:szCs w:val="22"/>
        </w:rPr>
        <w:t>002574714 2024 09427 001 001 000 001</w:t>
      </w:r>
      <w:r>
        <w:rPr>
          <w:rFonts w:asciiTheme="minorHAnsi" w:hAnsiTheme="minorHAnsi"/>
          <w:sz w:val="22"/>
          <w:szCs w:val="22"/>
        </w:rPr>
        <w:t xml:space="preserve"> z 6. 9. 2024 (Úradný vestník, APV č. 38/2024 – ďalej:</w:t>
      </w:r>
      <w:r>
        <w:rPr>
          <w:rFonts w:asciiTheme="minorHAnsi" w:hAnsiTheme="minorHAnsi"/>
          <w:color w:val="000000"/>
          <w:sz w:val="22"/>
          <w:szCs w:val="22"/>
        </w:rPr>
        <w:t xml:space="preserve"> súbeh).</w:t>
      </w:r>
    </w:p>
    <w:p w14:paraId="6356B068" w14:textId="77777777" w:rsidR="00EF5613" w:rsidRPr="00AD0361" w:rsidRDefault="00EF5613" w:rsidP="00EF5613">
      <w:pPr>
        <w:tabs>
          <w:tab w:val="left" w:pos="3600"/>
          <w:tab w:val="left" w:pos="3960"/>
        </w:tabs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ru-RU"/>
        </w:rPr>
      </w:pPr>
    </w:p>
    <w:p w14:paraId="0FBA738E" w14:textId="77777777"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II.</w:t>
      </w:r>
    </w:p>
    <w:p w14:paraId="7EEFC608" w14:textId="77777777"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064C08A6" w14:textId="5218549E" w:rsidR="00A1233A" w:rsidRPr="00AD0361" w:rsidRDefault="00CD7134" w:rsidP="00CD713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</w:t>
      </w:r>
      <w:r>
        <w:rPr>
          <w:rFonts w:asciiTheme="minorHAnsi" w:hAnsiTheme="minorHAnsi"/>
          <w:sz w:val="22"/>
          <w:szCs w:val="22"/>
        </w:rPr>
        <w:t xml:space="preserve">Súbehom je vyčlenených spolu 60 000 000,00 dinárov na účel z bodu I. tohto rozhodnutia. </w:t>
      </w:r>
      <w:r>
        <w:rPr>
          <w:rFonts w:ascii="Calibri" w:hAnsi="Calibri"/>
          <w:sz w:val="22"/>
          <w:szCs w:val="22"/>
        </w:rPr>
        <w:t xml:space="preserve">Týmto rozhodnutím sa rozvrhujú finančné prostriedky v celkovej sume </w:t>
      </w:r>
      <w:r>
        <w:rPr>
          <w:rFonts w:ascii="Calibri" w:hAnsi="Calibri"/>
          <w:b/>
          <w:bCs/>
          <w:sz w:val="22"/>
          <w:szCs w:val="22"/>
        </w:rPr>
        <w:t>59 614 455,03 dinárov</w:t>
      </w:r>
      <w:r>
        <w:rPr>
          <w:rFonts w:ascii="Calibri" w:hAnsi="Calibri"/>
          <w:sz w:val="22"/>
          <w:szCs w:val="22"/>
        </w:rPr>
        <w:t xml:space="preserve"> a suma </w:t>
      </w:r>
      <w:r>
        <w:rPr>
          <w:rFonts w:ascii="Calibri" w:hAnsi="Calibri"/>
          <w:b/>
          <w:bCs/>
          <w:sz w:val="22"/>
          <w:szCs w:val="22"/>
        </w:rPr>
        <w:t>385 544,97 dinárov</w:t>
      </w:r>
      <w:r>
        <w:rPr>
          <w:rFonts w:ascii="Calibri" w:hAnsi="Calibri"/>
          <w:sz w:val="22"/>
          <w:szCs w:val="22"/>
        </w:rPr>
        <w:t xml:space="preserve"> zostáva nerozvrhnutá.</w:t>
      </w:r>
    </w:p>
    <w:p w14:paraId="70DDA7B7" w14:textId="77777777" w:rsidR="00BF63A3" w:rsidRPr="00AD0361" w:rsidRDefault="00BF63A3" w:rsidP="00EF5613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02780089" w14:textId="0EA6AE43" w:rsidR="00EF5613" w:rsidRDefault="00EF5613" w:rsidP="00EF56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B0F0"/>
          <w:sz w:val="22"/>
          <w:szCs w:val="22"/>
        </w:rPr>
        <w:t xml:space="preserve">          </w:t>
      </w:r>
      <w:r>
        <w:rPr>
          <w:rFonts w:asciiTheme="minorHAnsi" w:hAnsiTheme="minorHAnsi"/>
          <w:sz w:val="22"/>
          <w:szCs w:val="22"/>
        </w:rPr>
        <w:t>Prostriedky sa schvaľujú ustanovizniam stredoškolského vzdelávania a na území AP Vojvodiny, ktorých zakladateľkou je Srbská republika, autonómna pokrajina alebo jednotka lokálnej samosprávy (ďalej: užívateľov) na účely a v sumách uvedených v tabuľke 1, ktorá je neoddeliteľnou súčasťou tohto rozhodnutia.</w:t>
      </w:r>
    </w:p>
    <w:p w14:paraId="4D2348C2" w14:textId="77777777" w:rsidR="00FC14C3" w:rsidRPr="006848AE" w:rsidRDefault="00FC14C3" w:rsidP="00EF5613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14:paraId="5B4DFA74" w14:textId="26CFDE3E" w:rsidR="004C3295" w:rsidRPr="00FC14C3" w:rsidRDefault="00FC14C3" w:rsidP="00FC14C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Theme="minorHAnsi" w:hAnsiTheme="minorHAnsi"/>
          <w:b/>
          <w:bCs/>
          <w:sz w:val="22"/>
          <w:szCs w:val="22"/>
        </w:rPr>
        <w:t>III.</w:t>
      </w:r>
    </w:p>
    <w:p w14:paraId="598E0CA1" w14:textId="77777777"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710ACF" w14:textId="77777777" w:rsidR="00FC14C3" w:rsidRPr="00FC14C3" w:rsidRDefault="00A1233A" w:rsidP="00FC14C3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Prostriedky z bodu II. tohto rozhodnutia sú určené Pokrajinským parlamentným uznesením o rozpočte Autonómnej pokrajiny Vojvodiny  na rok 2024 (Úradný vestník APV č. 45/23 a 37/24 – opätovná bilancia), v oddiely  06 - Pokrajinský sekretariát vzdelávania, predpisov, správy a národnostných menšín- národnostných spoločenstiev (ďalej: sekretariát),  Program 2004 – Stredné vzdelávanie, Programová aktivita 1005 - Modernizácia infraštruktúry stredných škôl, funkčná klasifikácia 920 - Stredné vzdelávanie, zdroj financovania 01 00 – Všeobecné príjmy a výnosy rozpočtu, ekonomická klasifikácia 463 – Transfery iným úrovniam moci, 4632 – Kapitálové transfery iným úrovniam moc, a prevádzajú sa príjemcom v súlade s prílevom prostriedkov do rozpočtu AP Vojvodiny, respektíve s likvidnými možnosťami rozpočtu.</w:t>
      </w:r>
    </w:p>
    <w:p w14:paraId="39876A2F" w14:textId="56C6B210" w:rsidR="004C3295" w:rsidRPr="00AD0361" w:rsidRDefault="004C3295" w:rsidP="00A1233A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sz w:val="22"/>
          <w:szCs w:val="22"/>
        </w:rPr>
      </w:pPr>
    </w:p>
    <w:p w14:paraId="1B0163EB" w14:textId="77777777" w:rsidR="00222C25" w:rsidRPr="00AD0361" w:rsidRDefault="00222C2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1F62F5DB" w14:textId="77777777"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327E90FA" w14:textId="77777777"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IV.</w:t>
      </w:r>
    </w:p>
    <w:p w14:paraId="3C8C860F" w14:textId="77777777"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75FFD2F9" w14:textId="77777777" w:rsidR="004C3295" w:rsidRPr="00AD0361" w:rsidRDefault="004C3295" w:rsidP="004C3295">
      <w:pPr>
        <w:tabs>
          <w:tab w:val="left" w:pos="126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           Pri výdavky a trovy súvisiace s realizáciou účelu, na ktorý boli prostriedky pridelené a ktoré sú predmetom verejného obstarávania, prijíma príjemca prostriedkov postup verejného obstarávania v súlade s predpismi upravujúcimi verejné obstarávanie.</w:t>
      </w:r>
    </w:p>
    <w:p w14:paraId="724D9F61" w14:textId="77777777" w:rsidR="004C3295" w:rsidRPr="00AD0361" w:rsidRDefault="004C3295" w:rsidP="004C3295">
      <w:pPr>
        <w:tabs>
          <w:tab w:val="left" w:pos="1260"/>
          <w:tab w:val="left" w:pos="3960"/>
        </w:tabs>
        <w:jc w:val="center"/>
        <w:rPr>
          <w:rFonts w:asciiTheme="minorHAnsi" w:hAnsiTheme="minorHAnsi" w:cstheme="minorHAnsi"/>
          <w:bCs/>
          <w:iCs/>
          <w:sz w:val="22"/>
          <w:szCs w:val="22"/>
          <w:lang w:val="ru-RU"/>
        </w:rPr>
      </w:pPr>
    </w:p>
    <w:p w14:paraId="26E82F12" w14:textId="77777777" w:rsidR="004C3295" w:rsidRPr="00AD0361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V.</w:t>
      </w:r>
    </w:p>
    <w:p w14:paraId="34628F7F" w14:textId="77777777" w:rsidR="004C3295" w:rsidRPr="00AD0361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4427B954" w14:textId="77777777" w:rsidR="004C3295" w:rsidRPr="00AD0361" w:rsidRDefault="004C3295" w:rsidP="004C3295">
      <w:pPr>
        <w:tabs>
          <w:tab w:val="left" w:pos="108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Sekretariát informuje užívateľa o rozdelení finančných prostriedkov určených týmto rozhodnutím.</w:t>
      </w:r>
    </w:p>
    <w:p w14:paraId="42FD9C37" w14:textId="77777777" w:rsidR="00336C17" w:rsidRPr="00AD0361" w:rsidRDefault="00336C17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165EB583" w14:textId="77777777" w:rsidR="00336C17" w:rsidRPr="00AD0361" w:rsidRDefault="00336C17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4A6619A9" w14:textId="77777777"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VI.</w:t>
      </w:r>
    </w:p>
    <w:p w14:paraId="49F355A4" w14:textId="77777777"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172947FA" w14:textId="77777777"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Sekretariát prevezme záväzok voči užívateľom na základe písomnej zmluvy.</w:t>
      </w:r>
    </w:p>
    <w:p w14:paraId="25BAFBAB" w14:textId="77777777"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14:paraId="11558B4B" w14:textId="77777777"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VII.</w:t>
      </w:r>
    </w:p>
    <w:p w14:paraId="19CD6A41" w14:textId="77777777"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720751" w14:textId="77777777" w:rsidR="004C3295" w:rsidRPr="00AD0361" w:rsidRDefault="004C3295" w:rsidP="004C3295">
      <w:pPr>
        <w:tabs>
          <w:tab w:val="left" w:pos="126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 Toto rozhodnutie je konečné a proti nemu nemožno podať sťažnosť.</w:t>
      </w:r>
    </w:p>
    <w:p w14:paraId="498FA81C" w14:textId="77777777"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731136A" w14:textId="77777777"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14:paraId="20C289CC" w14:textId="77777777" w:rsidR="004C3295" w:rsidRPr="00AD0361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VIII.</w:t>
      </w:r>
    </w:p>
    <w:p w14:paraId="622D2B1A" w14:textId="77777777" w:rsidR="004C3295" w:rsidRPr="00AD0361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sr-Latn-CS"/>
        </w:rPr>
      </w:pPr>
    </w:p>
    <w:p w14:paraId="79DB7609" w14:textId="77777777"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Za výkon tohto rozhodnutia je zodpovedný Sektor pre hmotno-finančné úkony sekretariátu.</w:t>
      </w:r>
    </w:p>
    <w:p w14:paraId="734C1F31" w14:textId="77777777"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14:paraId="4A55989B" w14:textId="77777777"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14:paraId="50CC4B3F" w14:textId="77777777"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14:paraId="486FA107" w14:textId="77777777"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Rozhodnutie doručiť:</w:t>
      </w:r>
    </w:p>
    <w:p w14:paraId="7D816E05" w14:textId="77777777"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CS"/>
        </w:rPr>
      </w:pPr>
    </w:p>
    <w:p w14:paraId="6966A5E8" w14:textId="77777777" w:rsidR="004C3295" w:rsidRPr="00AD0361" w:rsidRDefault="004C3295" w:rsidP="004C3295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Sektoru pre hmotno-finančné úkony sekretariátu</w:t>
      </w:r>
    </w:p>
    <w:p w14:paraId="21F7AB4C" w14:textId="77777777" w:rsidR="004C3295" w:rsidRPr="00AD0361" w:rsidRDefault="004C3295" w:rsidP="007B2CF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Archívu  </w:t>
      </w:r>
    </w:p>
    <w:p w14:paraId="3573394F" w14:textId="77777777" w:rsidR="004C3295" w:rsidRPr="00AD0361" w:rsidRDefault="004C3295" w:rsidP="006848AE">
      <w:pPr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14:paraId="035EA4ED" w14:textId="77777777" w:rsidR="006848AE" w:rsidRPr="006848AE" w:rsidRDefault="006848AE" w:rsidP="006848AE">
      <w:pPr>
        <w:tabs>
          <w:tab w:val="left" w:pos="0"/>
        </w:tabs>
        <w:ind w:left="360" w:right="-12" w:firstLine="630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POKRAJINSKÝ TAJOMNÍK</w:t>
      </w:r>
    </w:p>
    <w:p w14:paraId="60E9CAAC" w14:textId="77777777" w:rsidR="006848AE" w:rsidRPr="006848AE" w:rsidRDefault="006848AE" w:rsidP="006848AE">
      <w:pPr>
        <w:ind w:firstLine="637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Róbert Ótott</w:t>
      </w:r>
    </w:p>
    <w:p w14:paraId="147E71F0" w14:textId="72172A19" w:rsidR="00AD0361" w:rsidRPr="00AD0361" w:rsidRDefault="00AD0361" w:rsidP="006848AE">
      <w:pPr>
        <w:tabs>
          <w:tab w:val="left" w:pos="0"/>
          <w:tab w:val="left" w:pos="7340"/>
        </w:tabs>
        <w:ind w:left="360" w:right="-12" w:firstLine="6303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AD0361" w:rsidRPr="00AD0361" w:rsidSect="00AD0361">
      <w:headerReference w:type="even" r:id="rId10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51FA" w14:textId="77777777" w:rsidR="00B71FA0" w:rsidRDefault="00B71FA0">
      <w:r>
        <w:separator/>
      </w:r>
    </w:p>
  </w:endnote>
  <w:endnote w:type="continuationSeparator" w:id="0">
    <w:p w14:paraId="0B7C17B2" w14:textId="77777777" w:rsidR="00B71FA0" w:rsidRDefault="00B7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F786C" w14:textId="77777777" w:rsidR="00B71FA0" w:rsidRDefault="00B71FA0">
      <w:r>
        <w:separator/>
      </w:r>
    </w:p>
  </w:footnote>
  <w:footnote w:type="continuationSeparator" w:id="0">
    <w:p w14:paraId="16F660C8" w14:textId="77777777" w:rsidR="00B71FA0" w:rsidRDefault="00B71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17D63" w14:textId="77777777" w:rsidR="00222C25" w:rsidRDefault="00222C25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443859" w14:textId="77777777" w:rsidR="00222C25" w:rsidRDefault="00222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CA0440"/>
    <w:multiLevelType w:val="hybridMultilevel"/>
    <w:tmpl w:val="67F6D0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3"/>
    <w:rsid w:val="000529C1"/>
    <w:rsid w:val="0005313F"/>
    <w:rsid w:val="000B078D"/>
    <w:rsid w:val="000B1BBD"/>
    <w:rsid w:val="00127D83"/>
    <w:rsid w:val="00134646"/>
    <w:rsid w:val="00157C24"/>
    <w:rsid w:val="00164821"/>
    <w:rsid w:val="001C59F8"/>
    <w:rsid w:val="001D5628"/>
    <w:rsid w:val="001E0C5C"/>
    <w:rsid w:val="001F3F9B"/>
    <w:rsid w:val="00207E01"/>
    <w:rsid w:val="00222C25"/>
    <w:rsid w:val="00222EF7"/>
    <w:rsid w:val="00232580"/>
    <w:rsid w:val="00251A29"/>
    <w:rsid w:val="002535C4"/>
    <w:rsid w:val="002542AD"/>
    <w:rsid w:val="0032592E"/>
    <w:rsid w:val="0033214E"/>
    <w:rsid w:val="00336C17"/>
    <w:rsid w:val="0034375A"/>
    <w:rsid w:val="00380287"/>
    <w:rsid w:val="003A0C36"/>
    <w:rsid w:val="003C3DEC"/>
    <w:rsid w:val="003F090B"/>
    <w:rsid w:val="003F6CA7"/>
    <w:rsid w:val="004121A4"/>
    <w:rsid w:val="00422D07"/>
    <w:rsid w:val="0043119D"/>
    <w:rsid w:val="00453C97"/>
    <w:rsid w:val="00472AF8"/>
    <w:rsid w:val="00474C09"/>
    <w:rsid w:val="00482348"/>
    <w:rsid w:val="00492695"/>
    <w:rsid w:val="004C3295"/>
    <w:rsid w:val="004F3C6B"/>
    <w:rsid w:val="004F5B31"/>
    <w:rsid w:val="00544339"/>
    <w:rsid w:val="00552829"/>
    <w:rsid w:val="005663B0"/>
    <w:rsid w:val="00566FB3"/>
    <w:rsid w:val="005D57FE"/>
    <w:rsid w:val="005D7CA9"/>
    <w:rsid w:val="005F00FD"/>
    <w:rsid w:val="006005B4"/>
    <w:rsid w:val="006276C0"/>
    <w:rsid w:val="006712C8"/>
    <w:rsid w:val="00681822"/>
    <w:rsid w:val="006848AE"/>
    <w:rsid w:val="006B723C"/>
    <w:rsid w:val="006D0D69"/>
    <w:rsid w:val="006D38DB"/>
    <w:rsid w:val="006D7322"/>
    <w:rsid w:val="006E3AEA"/>
    <w:rsid w:val="00702966"/>
    <w:rsid w:val="00703EE3"/>
    <w:rsid w:val="00705208"/>
    <w:rsid w:val="007200DF"/>
    <w:rsid w:val="007353E9"/>
    <w:rsid w:val="00755114"/>
    <w:rsid w:val="00770F73"/>
    <w:rsid w:val="007757B7"/>
    <w:rsid w:val="007B2CF1"/>
    <w:rsid w:val="007B6BF0"/>
    <w:rsid w:val="007C2113"/>
    <w:rsid w:val="007D332B"/>
    <w:rsid w:val="007D3E0E"/>
    <w:rsid w:val="007E7C17"/>
    <w:rsid w:val="00807159"/>
    <w:rsid w:val="008165CC"/>
    <w:rsid w:val="00824F87"/>
    <w:rsid w:val="00843352"/>
    <w:rsid w:val="00872E89"/>
    <w:rsid w:val="00894F95"/>
    <w:rsid w:val="008F41A8"/>
    <w:rsid w:val="009251DE"/>
    <w:rsid w:val="009667D1"/>
    <w:rsid w:val="00990D3F"/>
    <w:rsid w:val="009A3419"/>
    <w:rsid w:val="009C19AA"/>
    <w:rsid w:val="009C4BE8"/>
    <w:rsid w:val="009C6A1C"/>
    <w:rsid w:val="009E6903"/>
    <w:rsid w:val="009F52E1"/>
    <w:rsid w:val="00A069AA"/>
    <w:rsid w:val="00A1233A"/>
    <w:rsid w:val="00A15393"/>
    <w:rsid w:val="00A84E54"/>
    <w:rsid w:val="00AD0361"/>
    <w:rsid w:val="00AD13B3"/>
    <w:rsid w:val="00AD7E9A"/>
    <w:rsid w:val="00B46D41"/>
    <w:rsid w:val="00B554A3"/>
    <w:rsid w:val="00B613E2"/>
    <w:rsid w:val="00B71FA0"/>
    <w:rsid w:val="00B767E4"/>
    <w:rsid w:val="00BC2CA9"/>
    <w:rsid w:val="00BC3AB3"/>
    <w:rsid w:val="00BD1F4E"/>
    <w:rsid w:val="00BD29CA"/>
    <w:rsid w:val="00BE6DBB"/>
    <w:rsid w:val="00BF63A3"/>
    <w:rsid w:val="00C06DC9"/>
    <w:rsid w:val="00C12BB9"/>
    <w:rsid w:val="00C17EFC"/>
    <w:rsid w:val="00C24712"/>
    <w:rsid w:val="00C26BC5"/>
    <w:rsid w:val="00C470DD"/>
    <w:rsid w:val="00C531F3"/>
    <w:rsid w:val="00C554CE"/>
    <w:rsid w:val="00C97A81"/>
    <w:rsid w:val="00CA6F3E"/>
    <w:rsid w:val="00CB04C1"/>
    <w:rsid w:val="00CD7134"/>
    <w:rsid w:val="00D01A37"/>
    <w:rsid w:val="00D16620"/>
    <w:rsid w:val="00D20210"/>
    <w:rsid w:val="00D67564"/>
    <w:rsid w:val="00D707FD"/>
    <w:rsid w:val="00DC7785"/>
    <w:rsid w:val="00E022EE"/>
    <w:rsid w:val="00E279DC"/>
    <w:rsid w:val="00E32A25"/>
    <w:rsid w:val="00E709CE"/>
    <w:rsid w:val="00EA4291"/>
    <w:rsid w:val="00EB3DDC"/>
    <w:rsid w:val="00EC0AE1"/>
    <w:rsid w:val="00EC73D0"/>
    <w:rsid w:val="00ED4EA8"/>
    <w:rsid w:val="00EE1DB0"/>
    <w:rsid w:val="00EF3363"/>
    <w:rsid w:val="00EF5613"/>
    <w:rsid w:val="00EF7AB4"/>
    <w:rsid w:val="00F0302B"/>
    <w:rsid w:val="00F034C4"/>
    <w:rsid w:val="00F06AD8"/>
    <w:rsid w:val="00F27B76"/>
    <w:rsid w:val="00F83BBF"/>
    <w:rsid w:val="00FB3EB4"/>
    <w:rsid w:val="00FC14C3"/>
    <w:rsid w:val="00FD624A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0091D"/>
  <w15:docId w15:val="{DB9055CA-8F17-4C84-AB22-C69ED92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53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EF5613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EF5613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F5613"/>
    <w:rPr>
      <w:rFonts w:ascii="Times New Roman" w:eastAsia="Calibri" w:hAnsi="Times New Roman" w:cs="Times New Roman"/>
      <w:sz w:val="24"/>
      <w:szCs w:val="24"/>
      <w:lang w:val="sk-SK" w:eastAsia="ja-JP"/>
    </w:rPr>
  </w:style>
  <w:style w:type="paragraph" w:styleId="Header">
    <w:name w:val="header"/>
    <w:basedOn w:val="Normal"/>
    <w:link w:val="HeaderChar"/>
    <w:uiPriority w:val="99"/>
    <w:rsid w:val="00EF5613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F5613"/>
    <w:rPr>
      <w:rFonts w:ascii="Times New Roman" w:eastAsia="Calibri" w:hAnsi="Times New Roman" w:cs="Times New Roman"/>
      <w:sz w:val="24"/>
      <w:szCs w:val="24"/>
      <w:lang w:val="sk-SK" w:eastAsia="ja-JP"/>
    </w:rPr>
  </w:style>
  <w:style w:type="character" w:styleId="PageNumber">
    <w:name w:val="page number"/>
    <w:uiPriority w:val="99"/>
    <w:rsid w:val="00EF5613"/>
    <w:rPr>
      <w:rFonts w:cs="Times New Roman"/>
    </w:rPr>
  </w:style>
  <w:style w:type="table" w:styleId="TableGrid">
    <w:name w:val="Table Grid"/>
    <w:basedOn w:val="TableNormal"/>
    <w:uiPriority w:val="39"/>
    <w:rsid w:val="00EF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13"/>
    <w:rPr>
      <w:rFonts w:ascii="Tahoma" w:eastAsia="Times New Roman" w:hAnsi="Tahoma" w:cs="Tahoma"/>
      <w:sz w:val="16"/>
      <w:szCs w:val="16"/>
      <w:lang w:val="sk-SK"/>
    </w:rPr>
  </w:style>
  <w:style w:type="paragraph" w:styleId="ListParagraph">
    <w:name w:val="List Paragraph"/>
    <w:basedOn w:val="Normal"/>
    <w:uiPriority w:val="34"/>
    <w:qFormat/>
    <w:rsid w:val="00BD29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3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EC"/>
    <w:rPr>
      <w:rFonts w:ascii="Times New Roman" w:eastAsia="Times New Roman" w:hAnsi="Times New Roman" w:cs="Times New Roman"/>
      <w:sz w:val="24"/>
      <w:szCs w:val="24"/>
      <w:lang w:val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254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2AD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2AD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character" w:customStyle="1" w:styleId="Heading4Char">
    <w:name w:val="Heading 4 Char"/>
    <w:basedOn w:val="DefaultParagraphFont"/>
    <w:link w:val="Heading4"/>
    <w:uiPriority w:val="9"/>
    <w:rsid w:val="007353E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DCF21-FA60-4556-B7E5-6995442E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Zdenka Valent</cp:lastModifiedBy>
  <cp:revision>3</cp:revision>
  <cp:lastPrinted>2023-04-27T09:45:00Z</cp:lastPrinted>
  <dcterms:created xsi:type="dcterms:W3CDTF">2024-10-04T12:17:00Z</dcterms:created>
  <dcterms:modified xsi:type="dcterms:W3CDTF">2024-10-04T12:46:00Z</dcterms:modified>
</cp:coreProperties>
</file>