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ayout w:type="fixed"/>
        <w:tblLook w:val="04A0" w:firstRow="1" w:lastRow="0" w:firstColumn="1" w:lastColumn="0" w:noHBand="0" w:noVBand="1"/>
      </w:tblPr>
      <w:tblGrid>
        <w:gridCol w:w="2552"/>
        <w:gridCol w:w="7655"/>
      </w:tblGrid>
      <w:tr w:rsidR="00B80BC2" w:rsidRPr="00865042" w14:paraId="3956DE71" w14:textId="77777777" w:rsidTr="003E1BBC">
        <w:trPr>
          <w:trHeight w:val="1975"/>
          <w:jc w:val="center"/>
        </w:trPr>
        <w:tc>
          <w:tcPr>
            <w:tcW w:w="2552" w:type="dxa"/>
          </w:tcPr>
          <w:p w14:paraId="31910C80" w14:textId="77777777" w:rsidR="006B0C94" w:rsidRPr="00865042" w:rsidRDefault="00A62710" w:rsidP="00D64227">
            <w:pPr>
              <w:tabs>
                <w:tab w:val="center" w:pos="4703"/>
                <w:tab w:val="right" w:pos="9406"/>
              </w:tabs>
              <w:rPr>
                <w:rFonts w:asciiTheme="minorHAnsi" w:hAnsiTheme="minorHAnsi" w:cstheme="minorHAnsi"/>
              </w:rPr>
            </w:pPr>
            <w:r>
              <w:rPr>
                <w:rFonts w:asciiTheme="minorHAnsi" w:hAnsiTheme="minorHAnsi"/>
                <w:noProof/>
                <w:lang w:val="en-US"/>
              </w:rPr>
              <w:drawing>
                <wp:inline distT="0" distB="0" distL="0" distR="0" wp14:anchorId="70A399BE" wp14:editId="4F4DFE0A">
                  <wp:extent cx="1492250" cy="965835"/>
                  <wp:effectExtent l="0" t="0" r="0" b="5715"/>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0" cy="965835"/>
                          </a:xfrm>
                          <a:prstGeom prst="rect">
                            <a:avLst/>
                          </a:prstGeom>
                          <a:noFill/>
                          <a:ln>
                            <a:noFill/>
                          </a:ln>
                        </pic:spPr>
                      </pic:pic>
                    </a:graphicData>
                  </a:graphic>
                </wp:inline>
              </w:drawing>
            </w:r>
          </w:p>
        </w:tc>
        <w:tc>
          <w:tcPr>
            <w:tcW w:w="7655" w:type="dxa"/>
          </w:tcPr>
          <w:p w14:paraId="24994865" w14:textId="7195B7F4" w:rsidR="006B0C94" w:rsidRPr="00CE5DD3" w:rsidRDefault="00865042" w:rsidP="00D64227">
            <w:pPr>
              <w:tabs>
                <w:tab w:val="center" w:pos="4703"/>
                <w:tab w:val="right" w:pos="9406"/>
              </w:tabs>
              <w:rPr>
                <w:rFonts w:asciiTheme="minorHAnsi" w:hAnsiTheme="minorHAnsi" w:cstheme="minorHAnsi"/>
                <w:sz w:val="22"/>
              </w:rPr>
            </w:pPr>
            <w:r w:rsidRPr="00CE5DD3">
              <w:rPr>
                <w:rFonts w:asciiTheme="minorHAnsi" w:hAnsiTheme="minorHAnsi"/>
                <w:sz w:val="22"/>
              </w:rPr>
              <w:t>Republika Srbija</w:t>
            </w:r>
          </w:p>
          <w:p w14:paraId="277AFF85" w14:textId="150E480D" w:rsidR="006B0C94" w:rsidRPr="00CE5DD3" w:rsidRDefault="00865042" w:rsidP="00D64227">
            <w:pPr>
              <w:rPr>
                <w:rFonts w:asciiTheme="minorHAnsi" w:hAnsiTheme="minorHAnsi" w:cstheme="minorHAnsi"/>
                <w:sz w:val="22"/>
              </w:rPr>
            </w:pPr>
            <w:r w:rsidRPr="00CE5DD3">
              <w:rPr>
                <w:rFonts w:asciiTheme="minorHAnsi" w:hAnsiTheme="minorHAnsi"/>
                <w:sz w:val="22"/>
              </w:rPr>
              <w:t>Autonomna Pokrajina Vojvodina</w:t>
            </w:r>
          </w:p>
          <w:p w14:paraId="34A946F7" w14:textId="34C2DF47" w:rsidR="006B0C94" w:rsidRPr="00CE5DD3" w:rsidRDefault="00865042" w:rsidP="00D64227">
            <w:pPr>
              <w:rPr>
                <w:rFonts w:asciiTheme="minorHAnsi" w:hAnsiTheme="minorHAnsi" w:cstheme="minorHAnsi"/>
                <w:b/>
                <w:sz w:val="22"/>
              </w:rPr>
            </w:pPr>
            <w:r w:rsidRPr="00CE5DD3">
              <w:rPr>
                <w:rFonts w:asciiTheme="minorHAnsi" w:hAnsiTheme="minorHAnsi"/>
                <w:b/>
                <w:sz w:val="22"/>
              </w:rPr>
              <w:t>Pokrajinsko tajništvo za obrazovanje, propise,</w:t>
            </w:r>
          </w:p>
          <w:p w14:paraId="5D144DAB" w14:textId="642DDE01" w:rsidR="006B0C94" w:rsidRPr="00CE5DD3" w:rsidRDefault="00865042" w:rsidP="00D64227">
            <w:pPr>
              <w:rPr>
                <w:rFonts w:asciiTheme="minorHAnsi" w:hAnsiTheme="minorHAnsi" w:cstheme="minorHAnsi"/>
                <w:b/>
                <w:sz w:val="22"/>
              </w:rPr>
            </w:pPr>
            <w:r w:rsidRPr="00CE5DD3">
              <w:rPr>
                <w:rFonts w:asciiTheme="minorHAnsi" w:hAnsiTheme="minorHAnsi"/>
                <w:b/>
                <w:sz w:val="22"/>
              </w:rPr>
              <w:t>upravu i nacionalne manjine – nacionalne zajednice</w:t>
            </w:r>
          </w:p>
          <w:p w14:paraId="6EF46E16" w14:textId="7BDDD5DD" w:rsidR="006B0C94" w:rsidRPr="00CE5DD3" w:rsidRDefault="00865042" w:rsidP="00D64227">
            <w:pPr>
              <w:tabs>
                <w:tab w:val="center" w:pos="4703"/>
                <w:tab w:val="right" w:pos="9406"/>
              </w:tabs>
              <w:rPr>
                <w:rFonts w:asciiTheme="minorHAnsi" w:hAnsiTheme="minorHAnsi" w:cstheme="minorHAnsi"/>
                <w:sz w:val="22"/>
              </w:rPr>
            </w:pPr>
            <w:r w:rsidRPr="00CE5DD3">
              <w:rPr>
                <w:rFonts w:asciiTheme="minorHAnsi" w:hAnsiTheme="minorHAnsi"/>
                <w:sz w:val="22"/>
              </w:rPr>
              <w:t>Bulevar Mihajla Pupina 16, 21000 Novi Sad</w:t>
            </w:r>
          </w:p>
          <w:p w14:paraId="32304172" w14:textId="16B6CCAF" w:rsidR="006B0C94" w:rsidRPr="00CE5DD3" w:rsidRDefault="00865042" w:rsidP="00D64227">
            <w:pPr>
              <w:tabs>
                <w:tab w:val="center" w:pos="4703"/>
                <w:tab w:val="right" w:pos="9406"/>
              </w:tabs>
              <w:rPr>
                <w:rFonts w:asciiTheme="minorHAnsi" w:hAnsiTheme="minorHAnsi" w:cstheme="minorHAnsi"/>
                <w:sz w:val="22"/>
              </w:rPr>
            </w:pPr>
            <w:r w:rsidRPr="00CE5DD3">
              <w:rPr>
                <w:rFonts w:asciiTheme="minorHAnsi" w:hAnsiTheme="minorHAnsi"/>
                <w:sz w:val="22"/>
              </w:rPr>
              <w:t>T: +381 21 487 4330</w:t>
            </w:r>
          </w:p>
          <w:p w14:paraId="004B8B35" w14:textId="12286E8D" w:rsidR="006B0C94" w:rsidRPr="00CE5DD3" w:rsidRDefault="005F4FE2" w:rsidP="00D64227">
            <w:pPr>
              <w:tabs>
                <w:tab w:val="center" w:pos="4703"/>
                <w:tab w:val="right" w:pos="9406"/>
              </w:tabs>
              <w:rPr>
                <w:rFonts w:asciiTheme="minorHAnsi" w:hAnsiTheme="minorHAnsi" w:cstheme="minorHAnsi"/>
                <w:sz w:val="22"/>
              </w:rPr>
            </w:pPr>
            <w:hyperlink r:id="rId7" w:history="1">
              <w:r w:rsidR="00865042" w:rsidRPr="00CE5DD3">
                <w:rPr>
                  <w:rFonts w:asciiTheme="minorHAnsi" w:hAnsiTheme="minorHAnsi"/>
                  <w:sz w:val="22"/>
                </w:rPr>
                <w:t>ounz@vojvodina.gov.rs</w:t>
              </w:r>
            </w:hyperlink>
          </w:p>
          <w:p w14:paraId="26163EB0" w14:textId="77777777" w:rsidR="004310EB" w:rsidRPr="00865042" w:rsidRDefault="004310EB" w:rsidP="00D64227">
            <w:pPr>
              <w:tabs>
                <w:tab w:val="center" w:pos="4703"/>
                <w:tab w:val="right" w:pos="9406"/>
              </w:tabs>
              <w:rPr>
                <w:rFonts w:asciiTheme="minorHAnsi" w:hAnsiTheme="minorHAnsi" w:cstheme="minorHAnsi"/>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5"/>
              <w:gridCol w:w="2693"/>
            </w:tblGrid>
            <w:tr w:rsidR="00E262FB" w:rsidRPr="00865042" w14:paraId="6AAB0084" w14:textId="77777777" w:rsidTr="00CE5DD3">
              <w:tc>
                <w:tcPr>
                  <w:tcW w:w="4575" w:type="dxa"/>
                </w:tcPr>
                <w:p w14:paraId="4F028AFE" w14:textId="7CE465F8" w:rsidR="00E262FB" w:rsidRPr="00865042" w:rsidRDefault="00865042" w:rsidP="00E262FB">
                  <w:pPr>
                    <w:tabs>
                      <w:tab w:val="center" w:pos="4703"/>
                      <w:tab w:val="right" w:pos="9406"/>
                    </w:tabs>
                    <w:rPr>
                      <w:rFonts w:asciiTheme="minorHAnsi" w:hAnsiTheme="minorHAnsi" w:cstheme="minorHAnsi"/>
                      <w:sz w:val="20"/>
                      <w:szCs w:val="20"/>
                    </w:rPr>
                  </w:pPr>
                  <w:r>
                    <w:rPr>
                      <w:rFonts w:asciiTheme="minorHAnsi" w:hAnsiTheme="minorHAnsi"/>
                      <w:sz w:val="20"/>
                    </w:rPr>
                    <w:t>KLASA: 004295568 2025 09427 001 002 000 001</w:t>
                  </w:r>
                  <w:r>
                    <w:rPr>
                      <w:rFonts w:asciiTheme="minorHAnsi" w:hAnsiTheme="minorHAnsi"/>
                      <w:sz w:val="20"/>
                    </w:rPr>
                    <w:tab/>
                  </w:r>
                </w:p>
              </w:tc>
              <w:tc>
                <w:tcPr>
                  <w:tcW w:w="2693" w:type="dxa"/>
                  <w:shd w:val="clear" w:color="auto" w:fill="auto"/>
                </w:tcPr>
                <w:p w14:paraId="2F9B0F69" w14:textId="6827599E" w:rsidR="00E262FB" w:rsidRPr="00865042" w:rsidRDefault="00CE5DD3" w:rsidP="005F4FE2">
                  <w:pPr>
                    <w:tabs>
                      <w:tab w:val="center" w:pos="4703"/>
                      <w:tab w:val="right" w:pos="9406"/>
                    </w:tabs>
                    <w:ind w:right="-101"/>
                    <w:rPr>
                      <w:rFonts w:asciiTheme="minorHAnsi" w:hAnsiTheme="minorHAnsi" w:cstheme="minorHAnsi"/>
                      <w:sz w:val="20"/>
                      <w:szCs w:val="20"/>
                    </w:rPr>
                  </w:pPr>
                  <w:r>
                    <w:rPr>
                      <w:rFonts w:asciiTheme="minorHAnsi" w:hAnsiTheme="minorHAnsi"/>
                      <w:sz w:val="20"/>
                    </w:rPr>
                    <w:t>DATUM: 2</w:t>
                  </w:r>
                  <w:r w:rsidR="005F4FE2">
                    <w:rPr>
                      <w:rFonts w:asciiTheme="minorHAnsi" w:hAnsiTheme="minorHAnsi"/>
                      <w:sz w:val="20"/>
                    </w:rPr>
                    <w:t>3</w:t>
                  </w:r>
                  <w:bookmarkStart w:id="0" w:name="_GoBack"/>
                  <w:bookmarkEnd w:id="0"/>
                  <w:r>
                    <w:rPr>
                      <w:rFonts w:asciiTheme="minorHAnsi" w:hAnsiTheme="minorHAnsi"/>
                      <w:sz w:val="20"/>
                    </w:rPr>
                    <w:t xml:space="preserve">. </w:t>
                  </w:r>
                  <w:r w:rsidR="00865042">
                    <w:rPr>
                      <w:rFonts w:asciiTheme="minorHAnsi" w:hAnsiTheme="minorHAnsi"/>
                      <w:sz w:val="20"/>
                    </w:rPr>
                    <w:t>listopada 2025.</w:t>
                  </w:r>
                </w:p>
              </w:tc>
            </w:tr>
          </w:tbl>
          <w:p w14:paraId="6D282D18" w14:textId="77777777" w:rsidR="006B0C94" w:rsidRPr="00865042" w:rsidRDefault="006B0C94" w:rsidP="00D64227">
            <w:pPr>
              <w:tabs>
                <w:tab w:val="center" w:pos="4703"/>
                <w:tab w:val="right" w:pos="9406"/>
              </w:tabs>
              <w:rPr>
                <w:rFonts w:asciiTheme="minorHAnsi" w:hAnsiTheme="minorHAnsi" w:cstheme="minorHAnsi"/>
              </w:rPr>
            </w:pPr>
          </w:p>
        </w:tc>
      </w:tr>
    </w:tbl>
    <w:p w14:paraId="3FF60958" w14:textId="77777777" w:rsidR="00A30DAF" w:rsidRPr="00865042" w:rsidRDefault="00A30DAF" w:rsidP="00D64227">
      <w:pPr>
        <w:jc w:val="center"/>
        <w:rPr>
          <w:rFonts w:asciiTheme="minorHAnsi" w:hAnsiTheme="minorHAnsi" w:cstheme="minorHAnsi"/>
        </w:rPr>
      </w:pPr>
    </w:p>
    <w:p w14:paraId="337325F5" w14:textId="19E5D77E" w:rsidR="00A501AC" w:rsidRPr="00865042" w:rsidRDefault="00865042" w:rsidP="00A30DAF">
      <w:pPr>
        <w:jc w:val="both"/>
        <w:rPr>
          <w:rFonts w:asciiTheme="minorHAnsi" w:hAnsiTheme="minorHAnsi" w:cstheme="minorHAnsi"/>
        </w:rPr>
      </w:pPr>
      <w:r>
        <w:rPr>
          <w:rFonts w:asciiTheme="minorHAnsi" w:hAnsiTheme="minorHAnsi"/>
        </w:rPr>
        <w:t xml:space="preserve">Na temelju članaka  2. i 5. Pokrajinske skupštinske odluke o dodjeli proračunskih sredstava za financiranje i sufinanciranje programskih aktivnosti i projekata u području osnovnog i srednjeg obrazovanja i odgoja i učeničkog standarda u Autonomnoj Pokrajini Vojvodini („Sl. list APV“, broj: 14/15 i 10/17), članka 4. Pravilnika o dodjeli proračunskih sredstava Pokrajinskog tajništva za obrazovanje, propise, upravu i nacionalne manjine </w:t>
      </w:r>
      <w:r w:rsidR="00CE5DD3">
        <w:rPr>
          <w:rFonts w:asciiTheme="minorHAnsi" w:hAnsiTheme="minorHAnsi"/>
        </w:rPr>
        <w:t>–</w:t>
      </w:r>
      <w:r>
        <w:rPr>
          <w:rFonts w:asciiTheme="minorHAnsi" w:hAnsiTheme="minorHAnsi"/>
        </w:rPr>
        <w:t xml:space="preserve"> nacionalne zajednice za financiranje i sufinanciranje projekta u području podizanja kvalitete obrazovno-odgojnog procesa osnovnog i srednjeg obrazovanja – troškovi obuke talentiranih učenika osnovnih i srednjih škola s teritorija AP Vojvodine i angažiranja stručnih suradnika na Andrevlju za 2025. godinu („Službeni list APV“, broj: 55/25), a u vezi s Pokrajinskom skupštinskom odlukom o proračunu Autonomne Pokrajine Vojvodine za 2025. godinu („Sl. list AP Vojvodine“, broj: 57/2024, 38/2025 </w:t>
      </w:r>
      <w:r w:rsidR="00CE5DD3">
        <w:rPr>
          <w:rFonts w:asciiTheme="minorHAnsi" w:hAnsiTheme="minorHAnsi"/>
        </w:rPr>
        <w:t>–</w:t>
      </w:r>
      <w:r>
        <w:rPr>
          <w:rFonts w:asciiTheme="minorHAnsi" w:hAnsiTheme="minorHAnsi"/>
        </w:rPr>
        <w:t xml:space="preserve"> rebalans i 53/2025 </w:t>
      </w:r>
      <w:r w:rsidR="00CE5DD3">
        <w:rPr>
          <w:rFonts w:asciiTheme="minorHAnsi" w:hAnsiTheme="minorHAnsi"/>
        </w:rPr>
        <w:t>–</w:t>
      </w:r>
      <w:r>
        <w:rPr>
          <w:rFonts w:asciiTheme="minorHAnsi" w:hAnsiTheme="minorHAnsi"/>
        </w:rPr>
        <w:t xml:space="preserve"> rebalans), pokrajinski tajnik za obrazovanje, propise, upravu i nacionalne manjine </w:t>
      </w:r>
      <w:r w:rsidR="00CE5DD3">
        <w:rPr>
          <w:rFonts w:asciiTheme="minorHAnsi" w:hAnsiTheme="minorHAnsi"/>
        </w:rPr>
        <w:t>–</w:t>
      </w:r>
      <w:r>
        <w:rPr>
          <w:rFonts w:asciiTheme="minorHAnsi" w:hAnsiTheme="minorHAnsi"/>
        </w:rPr>
        <w:t xml:space="preserve"> nacionalne zajednice raspisuje</w:t>
      </w:r>
    </w:p>
    <w:p w14:paraId="63EEB6B3" w14:textId="77777777" w:rsidR="00A30DAF" w:rsidRPr="00865042" w:rsidRDefault="00A30DAF" w:rsidP="00A30DAF">
      <w:pPr>
        <w:jc w:val="both"/>
        <w:rPr>
          <w:rFonts w:asciiTheme="minorHAnsi" w:hAnsiTheme="minorHAnsi" w:cstheme="minorHAnsi"/>
        </w:rPr>
      </w:pPr>
    </w:p>
    <w:p w14:paraId="6383EBBD" w14:textId="47A78172" w:rsidR="00C431AB" w:rsidRPr="00865042" w:rsidRDefault="00865042" w:rsidP="00D64227">
      <w:pPr>
        <w:jc w:val="center"/>
        <w:outlineLvl w:val="0"/>
        <w:rPr>
          <w:rFonts w:asciiTheme="minorHAnsi" w:hAnsiTheme="minorHAnsi" w:cstheme="minorHAnsi"/>
          <w:b/>
        </w:rPr>
      </w:pPr>
      <w:r>
        <w:rPr>
          <w:rFonts w:asciiTheme="minorHAnsi" w:hAnsiTheme="minorHAnsi"/>
          <w:b/>
        </w:rPr>
        <w:t>NATJEČAJ</w:t>
      </w:r>
    </w:p>
    <w:p w14:paraId="56F7934A" w14:textId="7B5AE634" w:rsidR="00C431AB" w:rsidRPr="00865042" w:rsidRDefault="00865042" w:rsidP="00D64227">
      <w:pPr>
        <w:jc w:val="center"/>
        <w:rPr>
          <w:rFonts w:asciiTheme="minorHAnsi" w:hAnsiTheme="minorHAnsi" w:cstheme="minorHAnsi"/>
          <w:b/>
        </w:rPr>
      </w:pPr>
      <w:r>
        <w:rPr>
          <w:rFonts w:asciiTheme="minorHAnsi" w:hAnsiTheme="minorHAnsi"/>
          <w:b/>
        </w:rPr>
        <w:t>ZA FINANCIRANJE I SUFINANCIRANJE PROJEKTA U PODRUČJU PODIZANJA KVALITETE OBRAZOVNO-ODGOJNOG PROCESA OSNOVNOG I SREDNJEG OBRAZOVANJA – TROŠKOVI OBUKE TALENTIRANIH UČENIKA SREDNJIH ŠKOLA S TERITORIJA AP VOJVODINE I ANGAŽIRANJA STRUČNIH SURADNIKA NA ANDREVLJU ZA 2025. GODINU</w:t>
      </w:r>
    </w:p>
    <w:p w14:paraId="41499901" w14:textId="6E887FE8" w:rsidR="00142C4C" w:rsidRDefault="00142C4C" w:rsidP="00D64227">
      <w:pPr>
        <w:jc w:val="center"/>
        <w:rPr>
          <w:rFonts w:asciiTheme="minorHAnsi" w:hAnsiTheme="minorHAnsi" w:cstheme="minorHAnsi"/>
          <w:b/>
        </w:rPr>
      </w:pPr>
    </w:p>
    <w:p w14:paraId="059FE278" w14:textId="77777777" w:rsidR="00CE5DD3" w:rsidRPr="00865042" w:rsidRDefault="00CE5DD3" w:rsidP="00D64227">
      <w:pPr>
        <w:jc w:val="center"/>
        <w:rPr>
          <w:rFonts w:asciiTheme="minorHAnsi" w:hAnsiTheme="minorHAnsi" w:cstheme="minorHAnsi"/>
          <w:b/>
        </w:rPr>
      </w:pPr>
    </w:p>
    <w:p w14:paraId="3F7F8A43" w14:textId="486D450C" w:rsidR="00A501AC" w:rsidRDefault="00865042" w:rsidP="00D64227">
      <w:pPr>
        <w:ind w:firstLine="708"/>
        <w:jc w:val="both"/>
        <w:rPr>
          <w:rFonts w:asciiTheme="minorHAnsi" w:hAnsiTheme="minorHAnsi"/>
        </w:rPr>
      </w:pPr>
      <w:r>
        <w:rPr>
          <w:rFonts w:asciiTheme="minorHAnsi" w:hAnsiTheme="minorHAnsi"/>
        </w:rPr>
        <w:t xml:space="preserve">Pokrajinsko tajništvo za obrazovanje, propise, upravu i nacionalne manjine </w:t>
      </w:r>
      <w:r w:rsidR="00CE5DD3">
        <w:rPr>
          <w:rFonts w:asciiTheme="minorHAnsi" w:hAnsiTheme="minorHAnsi"/>
        </w:rPr>
        <w:t>–</w:t>
      </w:r>
      <w:r>
        <w:rPr>
          <w:rFonts w:asciiTheme="minorHAnsi" w:hAnsiTheme="minorHAnsi"/>
        </w:rPr>
        <w:t xml:space="preserve"> nacionalne zajednice (u daljnjem tekstu: Tajništvo) sukladno Financijskom planu za 2025. godinu, za unaprjeđenje kvalitete osnovnog i srednjeg obrazovanja – troškove sudjelovanja talentiranih učenika srednjih škola s teritorija AP Vojvodine i stručnih suradnika (ili nastavnika u iznimnim slučajevima) u svojstvu realizatora predviđenih aktivnosti iz sfere prirodnih i društvenih znanosti, umjetnosti i kulture koje će se održavati u razdoblju studeni-prosinac 2025. godine u Centru za gospodarsko-tehnološki razvoj „Ceptor“ na Andrevlju, opredjeljuje iznos od </w:t>
      </w:r>
      <w:r>
        <w:rPr>
          <w:rFonts w:asciiTheme="minorHAnsi" w:hAnsiTheme="minorHAnsi"/>
          <w:b/>
        </w:rPr>
        <w:t>4.000.000,00 dinara za srednje škole</w:t>
      </w:r>
      <w:r>
        <w:rPr>
          <w:rFonts w:asciiTheme="minorHAnsi" w:hAnsiTheme="minorHAnsi"/>
        </w:rPr>
        <w:t xml:space="preserve">. </w:t>
      </w:r>
    </w:p>
    <w:p w14:paraId="22FEBA46" w14:textId="77777777" w:rsidR="00CE5DD3" w:rsidRPr="00865042" w:rsidRDefault="00CE5DD3" w:rsidP="00D64227">
      <w:pPr>
        <w:ind w:firstLine="708"/>
        <w:jc w:val="both"/>
        <w:rPr>
          <w:rFonts w:asciiTheme="minorHAnsi" w:hAnsiTheme="minorHAnsi" w:cstheme="minorHAnsi"/>
        </w:rPr>
      </w:pPr>
    </w:p>
    <w:p w14:paraId="0D55E644" w14:textId="1D632CBB" w:rsidR="00876A1A" w:rsidRDefault="00865042" w:rsidP="007D201F">
      <w:pPr>
        <w:ind w:firstLine="708"/>
        <w:jc w:val="both"/>
        <w:rPr>
          <w:rFonts w:asciiTheme="minorHAnsi" w:hAnsiTheme="minorHAnsi"/>
        </w:rPr>
      </w:pPr>
      <w:r>
        <w:rPr>
          <w:rFonts w:asciiTheme="minorHAnsi" w:hAnsiTheme="minorHAnsi"/>
        </w:rPr>
        <w:t xml:space="preserve">Pravo sudjelovanja na Natječaju imaju srednje škole na teritoriju AP Vojvodine, čiji je osnivač Republika Srbija, autonomna pokrajina ili jedinica lokalne samouprave. Navedena sredstva namijenjena su za podizanje kvalitete obrazovno-odgojnog procesa srednjeg obrazovanja i odgoja </w:t>
      </w:r>
      <w:r w:rsidR="00CE5DD3">
        <w:rPr>
          <w:rFonts w:asciiTheme="minorHAnsi" w:hAnsiTheme="minorHAnsi"/>
        </w:rPr>
        <w:t>–</w:t>
      </w:r>
      <w:r>
        <w:rPr>
          <w:rFonts w:asciiTheme="minorHAnsi" w:hAnsiTheme="minorHAnsi"/>
        </w:rPr>
        <w:t xml:space="preserve"> troškove projekta obuke talentiranih učenika srednjih škola s teritorija AP Vojvodine u 2025. godini, koji će se održati u razdoblju studeni-prosinac 2025. godine u šestodnevnom trajanju (po 5 punih pansiona), u Centru za gospodarsko-tehnološki razvoj „Ceptor“, Andrevlje, Banoštor.</w:t>
      </w:r>
    </w:p>
    <w:p w14:paraId="3467006F" w14:textId="77777777" w:rsidR="00CE5DD3" w:rsidRPr="00865042" w:rsidRDefault="00CE5DD3" w:rsidP="007D201F">
      <w:pPr>
        <w:ind w:firstLine="708"/>
        <w:jc w:val="both"/>
        <w:rPr>
          <w:rFonts w:asciiTheme="minorHAnsi" w:hAnsiTheme="minorHAnsi" w:cstheme="minorHAnsi"/>
        </w:rPr>
      </w:pPr>
    </w:p>
    <w:p w14:paraId="135E2290" w14:textId="77777777" w:rsidR="00CE5DD3" w:rsidRDefault="00CE5DD3" w:rsidP="00D64227">
      <w:pPr>
        <w:ind w:firstLine="708"/>
        <w:jc w:val="both"/>
        <w:rPr>
          <w:rFonts w:asciiTheme="minorHAnsi" w:hAnsiTheme="minorHAnsi"/>
        </w:rPr>
      </w:pPr>
    </w:p>
    <w:p w14:paraId="53CBB2AA" w14:textId="61BFBA62" w:rsidR="000F3BE7" w:rsidRPr="00865042" w:rsidRDefault="00865042" w:rsidP="00D64227">
      <w:pPr>
        <w:ind w:firstLine="708"/>
        <w:jc w:val="both"/>
        <w:rPr>
          <w:rFonts w:asciiTheme="minorHAnsi" w:hAnsiTheme="minorHAnsi" w:cstheme="minorHAnsi"/>
        </w:rPr>
      </w:pPr>
      <w:r>
        <w:rPr>
          <w:rFonts w:asciiTheme="minorHAnsi" w:hAnsiTheme="minorHAnsi"/>
        </w:rPr>
        <w:lastRenderedPageBreak/>
        <w:t>Srednje škole u Natječaju mogu sudjelovati za:</w:t>
      </w:r>
    </w:p>
    <w:p w14:paraId="48920803" w14:textId="473667D0" w:rsidR="00766BF4" w:rsidRPr="00865042" w:rsidRDefault="00EE24B1" w:rsidP="00D64227">
      <w:pPr>
        <w:ind w:firstLine="708"/>
        <w:jc w:val="both"/>
        <w:rPr>
          <w:rFonts w:asciiTheme="minorHAnsi" w:hAnsiTheme="minorHAnsi" w:cstheme="minorHAnsi"/>
        </w:rPr>
      </w:pPr>
      <w:r>
        <w:rPr>
          <w:rFonts w:asciiTheme="minorHAnsi" w:hAnsiTheme="minorHAnsi"/>
        </w:rPr>
        <w:t>1) troškove smještaja i prehrane učenika svojih škola (</w:t>
      </w:r>
      <w:r>
        <w:rPr>
          <w:rFonts w:asciiTheme="minorHAnsi" w:hAnsiTheme="minorHAnsi"/>
          <w:b/>
          <w:bCs/>
        </w:rPr>
        <w:t>za drugi i treći razred</w:t>
      </w:r>
      <w:r>
        <w:rPr>
          <w:rFonts w:asciiTheme="minorHAnsi" w:hAnsiTheme="minorHAnsi"/>
        </w:rPr>
        <w:t>), radi njihovog sudjelovanja u predviđenim aktivnostima, za 5 punih pansiona;</w:t>
      </w:r>
    </w:p>
    <w:p w14:paraId="277183E0" w14:textId="181336E1" w:rsidR="00CE5DD3" w:rsidRPr="00CE5DD3" w:rsidRDefault="00EE24B1" w:rsidP="00CE5DD3">
      <w:pPr>
        <w:ind w:firstLine="708"/>
        <w:jc w:val="both"/>
        <w:rPr>
          <w:rFonts w:asciiTheme="minorHAnsi" w:hAnsiTheme="minorHAnsi"/>
        </w:rPr>
      </w:pPr>
      <w:r>
        <w:rPr>
          <w:rFonts w:asciiTheme="minorHAnsi" w:hAnsiTheme="minorHAnsi"/>
        </w:rPr>
        <w:t xml:space="preserve">2) troškove smještaja, prehrane i naknade za rad stručnog suradnika (ili nastavnika u iznimnim slučajevima) njihovih škola, koji će biti angažiran u svojstvu realizatora predviđenih aktivnosti učenika, također 5 punih pansiona, koji će biti prisutan svih 6 dana i koji će pratiti učenike u ostvarivanju svih planiranih aktivnosti. </w:t>
      </w:r>
    </w:p>
    <w:p w14:paraId="5CC13DBC" w14:textId="3E4BBA37" w:rsidR="00CE5DD3" w:rsidRPr="00CE5DD3" w:rsidRDefault="00865042" w:rsidP="00CE5DD3">
      <w:pPr>
        <w:ind w:firstLine="720"/>
        <w:jc w:val="both"/>
        <w:rPr>
          <w:rFonts w:asciiTheme="minorHAnsi" w:hAnsiTheme="minorHAnsi"/>
        </w:rPr>
      </w:pPr>
      <w:r>
        <w:rPr>
          <w:rFonts w:asciiTheme="minorHAnsi" w:hAnsiTheme="minorHAnsi"/>
        </w:rPr>
        <w:t>Za valjano sudjelovanje na natječaju potrebno je da se škola prijavi za 10 učenika i 1 stručnog suradnika ili nastavnika.</w:t>
      </w:r>
    </w:p>
    <w:p w14:paraId="0D81D7E7" w14:textId="2529C8CF" w:rsidR="000F3BE7" w:rsidRPr="00865042" w:rsidRDefault="00CE5DD3" w:rsidP="00CE5DD3">
      <w:pPr>
        <w:ind w:firstLine="708"/>
        <w:jc w:val="both"/>
        <w:rPr>
          <w:rFonts w:asciiTheme="minorHAnsi" w:hAnsiTheme="minorHAnsi" w:cstheme="minorHAnsi"/>
        </w:rPr>
      </w:pPr>
      <w:r>
        <w:rPr>
          <w:rFonts w:asciiTheme="minorHAnsi" w:hAnsiTheme="minorHAnsi"/>
        </w:rPr>
        <w:t>Pre</w:t>
      </w:r>
      <w:r w:rsidR="00865042">
        <w:rPr>
          <w:rFonts w:asciiTheme="minorHAnsi" w:hAnsiTheme="minorHAnsi"/>
        </w:rPr>
        <w:t xml:space="preserve">dviđene aktivnosti će se organizirati sukladno rasporedu koji će sastaviti Tajništvo. </w:t>
      </w:r>
    </w:p>
    <w:p w14:paraId="49446BA5" w14:textId="463EB019" w:rsidR="00743022" w:rsidRPr="00865042" w:rsidRDefault="00865042" w:rsidP="00CE5DD3">
      <w:pPr>
        <w:spacing w:after="60"/>
        <w:ind w:firstLine="708"/>
        <w:jc w:val="both"/>
        <w:rPr>
          <w:rFonts w:asciiTheme="minorHAnsi" w:hAnsiTheme="minorHAnsi" w:cstheme="minorHAnsi"/>
        </w:rPr>
      </w:pPr>
      <w:r>
        <w:rPr>
          <w:rFonts w:asciiTheme="minorHAnsi" w:hAnsiTheme="minorHAnsi"/>
        </w:rPr>
        <w:t xml:space="preserve">Financijskom potporom koja se daje ovim Natječajem promovira se, odnosno štiti javni interes utvrđen odredbama članaka 6., 7., 8. i 9. Zakona o osnovama sustava obrazovanja i odgoja („Sl. glasnik RS”, broj: 88/2017, 27/2018 </w:t>
      </w:r>
      <w:r w:rsidR="00CE5DD3">
        <w:rPr>
          <w:rFonts w:asciiTheme="minorHAnsi" w:hAnsiTheme="minorHAnsi"/>
        </w:rPr>
        <w:t>–</w:t>
      </w:r>
      <w:r>
        <w:rPr>
          <w:rFonts w:asciiTheme="minorHAnsi" w:hAnsiTheme="minorHAnsi"/>
        </w:rPr>
        <w:t xml:space="preserve"> dr. zakon, 10/2019, 27/2018 </w:t>
      </w:r>
      <w:r w:rsidR="00CE5DD3">
        <w:rPr>
          <w:rFonts w:asciiTheme="minorHAnsi" w:hAnsiTheme="minorHAnsi"/>
        </w:rPr>
        <w:t>–</w:t>
      </w:r>
      <w:r>
        <w:rPr>
          <w:rFonts w:asciiTheme="minorHAnsi" w:hAnsiTheme="minorHAnsi"/>
        </w:rPr>
        <w:t xml:space="preserve"> dr. zakon, 6/2020, 129/2021, 92/2023 i 19/2025).</w:t>
      </w:r>
    </w:p>
    <w:p w14:paraId="0DAAA748" w14:textId="77777777" w:rsidR="00CB0985" w:rsidRPr="00865042" w:rsidRDefault="00CB0985" w:rsidP="00D64227">
      <w:pPr>
        <w:pStyle w:val="ListParagraph"/>
        <w:spacing w:before="60"/>
        <w:ind w:left="0"/>
        <w:jc w:val="both"/>
        <w:rPr>
          <w:rFonts w:asciiTheme="minorHAnsi" w:hAnsiTheme="minorHAnsi" w:cstheme="minorHAnsi"/>
        </w:rPr>
      </w:pPr>
    </w:p>
    <w:p w14:paraId="4263AAED" w14:textId="24B92560" w:rsidR="00743022" w:rsidRPr="00CE5DD3" w:rsidRDefault="00865042" w:rsidP="00CE5DD3">
      <w:pPr>
        <w:pStyle w:val="ListParagraph"/>
        <w:spacing w:before="60"/>
        <w:ind w:left="0"/>
        <w:jc w:val="center"/>
        <w:rPr>
          <w:rFonts w:asciiTheme="minorHAnsi" w:hAnsiTheme="minorHAnsi" w:cstheme="minorHAnsi"/>
          <w:b/>
        </w:rPr>
      </w:pPr>
      <w:r>
        <w:rPr>
          <w:rFonts w:asciiTheme="minorHAnsi" w:hAnsiTheme="minorHAnsi"/>
          <w:b/>
        </w:rPr>
        <w:t>KRITERIJI ZA RASPODJELU SREDSTAVA</w:t>
      </w:r>
    </w:p>
    <w:p w14:paraId="6213C1F7" w14:textId="77777777" w:rsidR="00F61E77" w:rsidRPr="00865042" w:rsidRDefault="00F61E77" w:rsidP="00F61E77">
      <w:pPr>
        <w:ind w:left="2148"/>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F61E77" w:rsidRPr="00CE5DD3" w14:paraId="421BCC2D"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2B051C70" w14:textId="4DD98F18" w:rsidR="00F61E77" w:rsidRPr="00CE5DD3" w:rsidRDefault="00865042" w:rsidP="00F61E77">
            <w:pPr>
              <w:adjustRightInd w:val="0"/>
              <w:jc w:val="center"/>
              <w:rPr>
                <w:rFonts w:ascii="Calibri" w:hAnsi="Calibri" w:cs="Calibri"/>
                <w:sz w:val="22"/>
                <w:szCs w:val="20"/>
              </w:rPr>
            </w:pPr>
            <w:r w:rsidRPr="00CE5DD3">
              <w:rPr>
                <w:rFonts w:ascii="Calibri" w:hAnsi="Calibri"/>
                <w:sz w:val="22"/>
              </w:rPr>
              <w:t>R. br.</w:t>
            </w:r>
          </w:p>
        </w:tc>
        <w:tc>
          <w:tcPr>
            <w:tcW w:w="6211" w:type="dxa"/>
            <w:tcBorders>
              <w:top w:val="single" w:sz="4" w:space="0" w:color="auto"/>
              <w:left w:val="single" w:sz="4" w:space="0" w:color="auto"/>
              <w:bottom w:val="single" w:sz="4" w:space="0" w:color="auto"/>
              <w:right w:val="single" w:sz="4" w:space="0" w:color="auto"/>
            </w:tcBorders>
            <w:hideMark/>
          </w:tcPr>
          <w:p w14:paraId="7E20CA41" w14:textId="2F557F17" w:rsidR="00F61E77" w:rsidRPr="00CE5DD3" w:rsidRDefault="00865042" w:rsidP="00F61E77">
            <w:pPr>
              <w:adjustRightInd w:val="0"/>
              <w:ind w:firstLine="720"/>
              <w:jc w:val="center"/>
              <w:rPr>
                <w:rFonts w:ascii="Calibri" w:hAnsi="Calibri" w:cs="Calibri"/>
                <w:sz w:val="22"/>
                <w:szCs w:val="20"/>
              </w:rPr>
            </w:pPr>
            <w:r w:rsidRPr="00CE5DD3">
              <w:rPr>
                <w:rFonts w:ascii="Calibri" w:hAnsi="Calibri"/>
                <w:sz w:val="22"/>
              </w:rPr>
              <w:t>Kriteriji</w:t>
            </w:r>
          </w:p>
        </w:tc>
        <w:tc>
          <w:tcPr>
            <w:tcW w:w="1016" w:type="dxa"/>
            <w:tcBorders>
              <w:top w:val="single" w:sz="4" w:space="0" w:color="auto"/>
              <w:left w:val="single" w:sz="4" w:space="0" w:color="auto"/>
              <w:bottom w:val="single" w:sz="4" w:space="0" w:color="auto"/>
              <w:right w:val="single" w:sz="4" w:space="0" w:color="auto"/>
            </w:tcBorders>
          </w:tcPr>
          <w:p w14:paraId="4AFC0A16" w14:textId="0E016B2E" w:rsidR="00F61E77" w:rsidRPr="00CE5DD3" w:rsidRDefault="00865042" w:rsidP="00F61E77">
            <w:pPr>
              <w:adjustRightInd w:val="0"/>
              <w:rPr>
                <w:rFonts w:ascii="Calibri" w:hAnsi="Calibri" w:cs="Calibri"/>
                <w:sz w:val="22"/>
                <w:szCs w:val="20"/>
              </w:rPr>
            </w:pPr>
            <w:r w:rsidRPr="00CE5DD3">
              <w:rPr>
                <w:rFonts w:ascii="Calibri" w:hAnsi="Calibri"/>
                <w:sz w:val="22"/>
              </w:rPr>
              <w:t>Bodovi</w:t>
            </w:r>
          </w:p>
        </w:tc>
      </w:tr>
      <w:tr w:rsidR="00F61E77" w:rsidRPr="00CE5DD3" w14:paraId="23F9F225"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3F74C08D" w14:textId="77777777" w:rsidR="00F61E77" w:rsidRPr="00CE5DD3" w:rsidRDefault="00F61E77" w:rsidP="00F61E77">
            <w:pPr>
              <w:adjustRightInd w:val="0"/>
              <w:jc w:val="center"/>
              <w:rPr>
                <w:rFonts w:ascii="Calibri" w:hAnsi="Calibri" w:cs="Calibri"/>
                <w:sz w:val="22"/>
                <w:szCs w:val="20"/>
              </w:rPr>
            </w:pPr>
            <w:r w:rsidRPr="00CE5DD3">
              <w:rPr>
                <w:rFonts w:ascii="Calibri" w:hAnsi="Calibri"/>
                <w:sz w:val="22"/>
              </w:rPr>
              <w:t>1.</w:t>
            </w:r>
          </w:p>
        </w:tc>
        <w:tc>
          <w:tcPr>
            <w:tcW w:w="6211" w:type="dxa"/>
            <w:tcBorders>
              <w:top w:val="single" w:sz="4" w:space="0" w:color="auto"/>
              <w:left w:val="single" w:sz="4" w:space="0" w:color="auto"/>
              <w:bottom w:val="single" w:sz="4" w:space="0" w:color="auto"/>
              <w:right w:val="single" w:sz="4" w:space="0" w:color="auto"/>
            </w:tcBorders>
            <w:hideMark/>
          </w:tcPr>
          <w:p w14:paraId="7D0BB1C4" w14:textId="008D735E" w:rsidR="00F61E77" w:rsidRPr="00CE5DD3" w:rsidRDefault="00865042" w:rsidP="00F61E77">
            <w:pPr>
              <w:ind w:left="-15"/>
              <w:rPr>
                <w:rFonts w:ascii="Calibri" w:hAnsi="Calibri" w:cs="Calibri"/>
                <w:sz w:val="22"/>
                <w:szCs w:val="20"/>
                <w:highlight w:val="lightGray"/>
              </w:rPr>
            </w:pPr>
            <w:r w:rsidRPr="00CE5DD3">
              <w:rPr>
                <w:rFonts w:ascii="Calibri" w:hAnsi="Calibri"/>
                <w:sz w:val="22"/>
              </w:rPr>
              <w:t>stupanj uključenosti ciljne skupine kojoj je program/projekt namijenjen;</w:t>
            </w:r>
          </w:p>
        </w:tc>
        <w:tc>
          <w:tcPr>
            <w:tcW w:w="1016" w:type="dxa"/>
            <w:tcBorders>
              <w:top w:val="single" w:sz="4" w:space="0" w:color="auto"/>
              <w:left w:val="single" w:sz="4" w:space="0" w:color="auto"/>
              <w:bottom w:val="single" w:sz="4" w:space="0" w:color="auto"/>
              <w:right w:val="single" w:sz="4" w:space="0" w:color="auto"/>
            </w:tcBorders>
            <w:hideMark/>
          </w:tcPr>
          <w:p w14:paraId="44AFB685" w14:textId="77777777" w:rsidR="00F61E77" w:rsidRPr="00CE5DD3" w:rsidRDefault="00F61E77" w:rsidP="00F61E77">
            <w:pPr>
              <w:adjustRightInd w:val="0"/>
              <w:rPr>
                <w:rFonts w:ascii="Calibri" w:hAnsi="Calibri" w:cs="Calibri"/>
                <w:sz w:val="22"/>
                <w:szCs w:val="20"/>
              </w:rPr>
            </w:pPr>
            <w:r w:rsidRPr="00CE5DD3">
              <w:rPr>
                <w:rFonts w:ascii="Calibri" w:hAnsi="Calibri"/>
                <w:sz w:val="22"/>
              </w:rPr>
              <w:t>0-30</w:t>
            </w:r>
          </w:p>
        </w:tc>
      </w:tr>
      <w:tr w:rsidR="00F61E77" w:rsidRPr="00CE5DD3" w14:paraId="4879E865"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46CB4983" w14:textId="77777777" w:rsidR="00F61E77" w:rsidRPr="00CE5DD3" w:rsidRDefault="00F61E77" w:rsidP="00F61E77">
            <w:pPr>
              <w:adjustRightInd w:val="0"/>
              <w:jc w:val="center"/>
              <w:rPr>
                <w:rFonts w:ascii="Calibri" w:hAnsi="Calibri" w:cs="Calibri"/>
                <w:sz w:val="22"/>
                <w:szCs w:val="20"/>
              </w:rPr>
            </w:pPr>
            <w:r w:rsidRPr="00CE5DD3">
              <w:rPr>
                <w:rFonts w:ascii="Calibri" w:hAnsi="Calibri"/>
                <w:sz w:val="22"/>
              </w:rPr>
              <w:t>2.</w:t>
            </w:r>
          </w:p>
        </w:tc>
        <w:tc>
          <w:tcPr>
            <w:tcW w:w="6211" w:type="dxa"/>
            <w:tcBorders>
              <w:top w:val="single" w:sz="4" w:space="0" w:color="auto"/>
              <w:left w:val="single" w:sz="4" w:space="0" w:color="auto"/>
              <w:bottom w:val="single" w:sz="4" w:space="0" w:color="auto"/>
              <w:right w:val="single" w:sz="4" w:space="0" w:color="auto"/>
            </w:tcBorders>
            <w:hideMark/>
          </w:tcPr>
          <w:p w14:paraId="7FCFF8C8" w14:textId="30C5E039" w:rsidR="00F61E77" w:rsidRPr="00CE5DD3" w:rsidRDefault="00865042" w:rsidP="00F61E77">
            <w:pPr>
              <w:adjustRightInd w:val="0"/>
              <w:rPr>
                <w:rFonts w:ascii="Calibri" w:hAnsi="Calibri" w:cs="Calibri"/>
                <w:sz w:val="22"/>
                <w:szCs w:val="20"/>
              </w:rPr>
            </w:pPr>
            <w:r w:rsidRPr="00CE5DD3">
              <w:rPr>
                <w:rFonts w:ascii="Calibri" w:hAnsi="Calibri"/>
                <w:sz w:val="22"/>
              </w:rPr>
              <w:t>dosadašnja iskustva u realizaciji programa/projekata koji doprinose unapr</w:t>
            </w:r>
            <w:r w:rsidR="00CE5DD3">
              <w:rPr>
                <w:rFonts w:ascii="Calibri" w:hAnsi="Calibri"/>
                <w:sz w:val="22"/>
              </w:rPr>
              <w:t>j</w:t>
            </w:r>
            <w:r w:rsidRPr="00CE5DD3">
              <w:rPr>
                <w:rFonts w:ascii="Calibri" w:hAnsi="Calibri"/>
                <w:sz w:val="22"/>
              </w:rPr>
              <w:t>eđivanju obrazovno-odgojnog rada;</w:t>
            </w:r>
          </w:p>
        </w:tc>
        <w:tc>
          <w:tcPr>
            <w:tcW w:w="1016" w:type="dxa"/>
            <w:tcBorders>
              <w:top w:val="single" w:sz="4" w:space="0" w:color="auto"/>
              <w:left w:val="single" w:sz="4" w:space="0" w:color="auto"/>
              <w:bottom w:val="single" w:sz="4" w:space="0" w:color="auto"/>
              <w:right w:val="single" w:sz="4" w:space="0" w:color="auto"/>
            </w:tcBorders>
            <w:hideMark/>
          </w:tcPr>
          <w:p w14:paraId="68881AD2" w14:textId="77777777" w:rsidR="00F61E77" w:rsidRPr="00CE5DD3" w:rsidRDefault="00F61E77" w:rsidP="00F61E77">
            <w:pPr>
              <w:adjustRightInd w:val="0"/>
              <w:rPr>
                <w:rFonts w:ascii="Calibri" w:hAnsi="Calibri" w:cs="Calibri"/>
                <w:sz w:val="22"/>
                <w:szCs w:val="20"/>
              </w:rPr>
            </w:pPr>
            <w:r w:rsidRPr="00CE5DD3">
              <w:rPr>
                <w:rFonts w:ascii="Calibri" w:hAnsi="Calibri"/>
                <w:sz w:val="22"/>
              </w:rPr>
              <w:t>0-10</w:t>
            </w:r>
          </w:p>
        </w:tc>
      </w:tr>
      <w:tr w:rsidR="00F61E77" w:rsidRPr="00CE5DD3" w14:paraId="7E5DE33B"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07D53912" w14:textId="77777777" w:rsidR="00F61E77" w:rsidRPr="00CE5DD3" w:rsidRDefault="00F61E77" w:rsidP="00F61E77">
            <w:pPr>
              <w:adjustRightInd w:val="0"/>
              <w:jc w:val="center"/>
              <w:rPr>
                <w:rFonts w:ascii="Calibri" w:hAnsi="Calibri" w:cs="Calibri"/>
                <w:sz w:val="22"/>
                <w:szCs w:val="20"/>
              </w:rPr>
            </w:pPr>
            <w:r w:rsidRPr="00CE5DD3">
              <w:rPr>
                <w:rFonts w:ascii="Calibri" w:hAnsi="Calibri"/>
                <w:sz w:val="22"/>
              </w:rPr>
              <w:t>3.</w:t>
            </w:r>
          </w:p>
        </w:tc>
        <w:tc>
          <w:tcPr>
            <w:tcW w:w="6211" w:type="dxa"/>
            <w:tcBorders>
              <w:top w:val="single" w:sz="4" w:space="0" w:color="auto"/>
              <w:left w:val="single" w:sz="4" w:space="0" w:color="auto"/>
              <w:bottom w:val="single" w:sz="4" w:space="0" w:color="auto"/>
              <w:right w:val="single" w:sz="4" w:space="0" w:color="auto"/>
            </w:tcBorders>
            <w:hideMark/>
          </w:tcPr>
          <w:p w14:paraId="19FB1ADE" w14:textId="1F5BD65F" w:rsidR="00F61E77" w:rsidRPr="00CE5DD3" w:rsidRDefault="00865042" w:rsidP="00F61E77">
            <w:pPr>
              <w:adjustRightInd w:val="0"/>
              <w:rPr>
                <w:rFonts w:ascii="Calibri" w:hAnsi="Calibri" w:cs="Calibri"/>
                <w:sz w:val="22"/>
                <w:szCs w:val="20"/>
              </w:rPr>
            </w:pPr>
            <w:r w:rsidRPr="00CE5DD3">
              <w:rPr>
                <w:rFonts w:ascii="Calibri" w:hAnsi="Calibri"/>
                <w:sz w:val="22"/>
              </w:rPr>
              <w:t>kriteriji za učenike: ovim projektom mogu biti obuhvaćeni učenici koji su sudjelovali najmanje na općinskim natjecanjima iz područja prirodnih i društvenih znanosti, kulture i umjetnosti ili koji su prethodni razred završili s najmanje vrlo dobrim uspjehom;</w:t>
            </w:r>
          </w:p>
        </w:tc>
        <w:tc>
          <w:tcPr>
            <w:tcW w:w="1016" w:type="dxa"/>
            <w:tcBorders>
              <w:top w:val="single" w:sz="4" w:space="0" w:color="auto"/>
              <w:left w:val="single" w:sz="4" w:space="0" w:color="auto"/>
              <w:bottom w:val="single" w:sz="4" w:space="0" w:color="auto"/>
              <w:right w:val="single" w:sz="4" w:space="0" w:color="auto"/>
            </w:tcBorders>
            <w:hideMark/>
          </w:tcPr>
          <w:p w14:paraId="51427A62" w14:textId="77777777" w:rsidR="00F61E77" w:rsidRPr="00CE5DD3" w:rsidRDefault="00F61E77" w:rsidP="00F61E77">
            <w:pPr>
              <w:adjustRightInd w:val="0"/>
              <w:rPr>
                <w:rFonts w:ascii="Calibri" w:hAnsi="Calibri" w:cs="Calibri"/>
                <w:sz w:val="22"/>
                <w:szCs w:val="20"/>
              </w:rPr>
            </w:pPr>
            <w:r w:rsidRPr="00CE5DD3">
              <w:rPr>
                <w:rFonts w:ascii="Calibri" w:hAnsi="Calibri"/>
                <w:sz w:val="22"/>
              </w:rPr>
              <w:t>0-10</w:t>
            </w:r>
          </w:p>
        </w:tc>
      </w:tr>
      <w:tr w:rsidR="00F61E77" w:rsidRPr="00CE5DD3" w14:paraId="5AC61EFA"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72E34245" w14:textId="77777777" w:rsidR="00F61E77" w:rsidRPr="00CE5DD3" w:rsidRDefault="00F61E77" w:rsidP="00F61E77">
            <w:pPr>
              <w:adjustRightInd w:val="0"/>
              <w:jc w:val="center"/>
              <w:rPr>
                <w:rFonts w:ascii="Calibri" w:hAnsi="Calibri" w:cs="Calibri"/>
                <w:sz w:val="22"/>
                <w:szCs w:val="20"/>
              </w:rPr>
            </w:pPr>
            <w:r w:rsidRPr="00CE5DD3">
              <w:rPr>
                <w:rFonts w:ascii="Calibri" w:hAnsi="Calibri"/>
                <w:sz w:val="22"/>
              </w:rPr>
              <w:t>4.</w:t>
            </w:r>
          </w:p>
        </w:tc>
        <w:tc>
          <w:tcPr>
            <w:tcW w:w="6211" w:type="dxa"/>
            <w:tcBorders>
              <w:top w:val="single" w:sz="4" w:space="0" w:color="auto"/>
              <w:left w:val="single" w:sz="4" w:space="0" w:color="auto"/>
              <w:bottom w:val="single" w:sz="4" w:space="0" w:color="auto"/>
              <w:right w:val="single" w:sz="4" w:space="0" w:color="auto"/>
            </w:tcBorders>
            <w:hideMark/>
          </w:tcPr>
          <w:p w14:paraId="13724A61" w14:textId="29E9AC9B" w:rsidR="00F61E77" w:rsidRPr="00CE5DD3" w:rsidRDefault="00865042" w:rsidP="00F61E77">
            <w:pPr>
              <w:adjustRightInd w:val="0"/>
              <w:rPr>
                <w:rFonts w:ascii="Calibri" w:hAnsi="Calibri" w:cs="Calibri"/>
                <w:sz w:val="22"/>
                <w:szCs w:val="20"/>
              </w:rPr>
            </w:pPr>
            <w:r w:rsidRPr="00CE5DD3">
              <w:rPr>
                <w:rFonts w:ascii="Calibri" w:hAnsi="Calibri"/>
                <w:sz w:val="22"/>
              </w:rPr>
              <w:t>kriteriji za stručne suradnike, odnosno nastavnike: diploma o odgovarajućem obrazovanju sukladno odgovarajućim propisima;</w:t>
            </w:r>
          </w:p>
        </w:tc>
        <w:tc>
          <w:tcPr>
            <w:tcW w:w="1016" w:type="dxa"/>
            <w:tcBorders>
              <w:top w:val="single" w:sz="4" w:space="0" w:color="auto"/>
              <w:left w:val="single" w:sz="4" w:space="0" w:color="auto"/>
              <w:bottom w:val="single" w:sz="4" w:space="0" w:color="auto"/>
              <w:right w:val="single" w:sz="4" w:space="0" w:color="auto"/>
            </w:tcBorders>
            <w:hideMark/>
          </w:tcPr>
          <w:p w14:paraId="229C21B7" w14:textId="77777777" w:rsidR="00F61E77" w:rsidRPr="00CE5DD3" w:rsidRDefault="00F61E77" w:rsidP="00F61E77">
            <w:pPr>
              <w:adjustRightInd w:val="0"/>
              <w:rPr>
                <w:rFonts w:ascii="Calibri" w:hAnsi="Calibri" w:cs="Calibri"/>
                <w:sz w:val="22"/>
                <w:szCs w:val="20"/>
              </w:rPr>
            </w:pPr>
            <w:r w:rsidRPr="00CE5DD3">
              <w:rPr>
                <w:rFonts w:ascii="Calibri" w:hAnsi="Calibri"/>
                <w:sz w:val="22"/>
              </w:rPr>
              <w:t>0-10</w:t>
            </w:r>
          </w:p>
        </w:tc>
      </w:tr>
      <w:tr w:rsidR="00F61E77" w:rsidRPr="00CE5DD3" w14:paraId="35CF3CAE"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7D9F512E" w14:textId="77777777" w:rsidR="00F61E77" w:rsidRPr="00CE5DD3" w:rsidRDefault="00F61E77" w:rsidP="00F61E77">
            <w:pPr>
              <w:adjustRightInd w:val="0"/>
              <w:jc w:val="center"/>
              <w:rPr>
                <w:rFonts w:ascii="Calibri" w:hAnsi="Calibri" w:cs="Calibri"/>
                <w:sz w:val="22"/>
                <w:szCs w:val="20"/>
              </w:rPr>
            </w:pPr>
            <w:r w:rsidRPr="00CE5DD3">
              <w:rPr>
                <w:rFonts w:ascii="Calibri" w:hAnsi="Calibri"/>
                <w:sz w:val="22"/>
              </w:rPr>
              <w:t>5.</w:t>
            </w:r>
          </w:p>
        </w:tc>
        <w:tc>
          <w:tcPr>
            <w:tcW w:w="6211" w:type="dxa"/>
            <w:tcBorders>
              <w:top w:val="single" w:sz="4" w:space="0" w:color="auto"/>
              <w:left w:val="single" w:sz="4" w:space="0" w:color="auto"/>
              <w:bottom w:val="single" w:sz="4" w:space="0" w:color="auto"/>
              <w:right w:val="single" w:sz="4" w:space="0" w:color="auto"/>
            </w:tcBorders>
            <w:hideMark/>
          </w:tcPr>
          <w:p w14:paraId="63FA5548" w14:textId="0C857272" w:rsidR="00F61E77" w:rsidRPr="00CE5DD3" w:rsidRDefault="00865042" w:rsidP="00F61E77">
            <w:pPr>
              <w:adjustRightInd w:val="0"/>
              <w:rPr>
                <w:rFonts w:ascii="Calibri" w:hAnsi="Calibri" w:cs="Calibri"/>
                <w:sz w:val="22"/>
                <w:szCs w:val="20"/>
              </w:rPr>
            </w:pPr>
            <w:r w:rsidRPr="00CE5DD3">
              <w:rPr>
                <w:rFonts w:ascii="Calibri" w:hAnsi="Calibri"/>
                <w:sz w:val="22"/>
              </w:rPr>
              <w:t>poštovanje specifičnosti ustanove i socijalne politike lokalne samouprave:</w:t>
            </w:r>
          </w:p>
        </w:tc>
        <w:tc>
          <w:tcPr>
            <w:tcW w:w="1016" w:type="dxa"/>
            <w:tcBorders>
              <w:top w:val="single" w:sz="4" w:space="0" w:color="auto"/>
              <w:left w:val="single" w:sz="4" w:space="0" w:color="auto"/>
              <w:bottom w:val="single" w:sz="4" w:space="0" w:color="auto"/>
              <w:right w:val="single" w:sz="4" w:space="0" w:color="auto"/>
            </w:tcBorders>
            <w:hideMark/>
          </w:tcPr>
          <w:p w14:paraId="15A6A9DD" w14:textId="77777777" w:rsidR="00F61E77" w:rsidRPr="00CE5DD3" w:rsidRDefault="00F61E77" w:rsidP="00F61E77">
            <w:pPr>
              <w:adjustRightInd w:val="0"/>
              <w:rPr>
                <w:rFonts w:ascii="Calibri" w:hAnsi="Calibri" w:cs="Calibri"/>
                <w:sz w:val="22"/>
                <w:szCs w:val="20"/>
              </w:rPr>
            </w:pPr>
            <w:r w:rsidRPr="00CE5DD3">
              <w:rPr>
                <w:rFonts w:ascii="Calibri" w:hAnsi="Calibri"/>
                <w:sz w:val="22"/>
              </w:rPr>
              <w:t>0-10</w:t>
            </w:r>
          </w:p>
        </w:tc>
      </w:tr>
    </w:tbl>
    <w:p w14:paraId="710EF8DF" w14:textId="77777777" w:rsidR="00F61E77" w:rsidRPr="00865042" w:rsidRDefault="00F61E77" w:rsidP="00F61E77">
      <w:pPr>
        <w:ind w:firstLine="720"/>
        <w:jc w:val="both"/>
        <w:rPr>
          <w:rFonts w:ascii="Calibri" w:hAnsi="Calibri" w:cs="Calibri"/>
          <w:sz w:val="20"/>
          <w:szCs w:val="20"/>
        </w:rPr>
      </w:pPr>
    </w:p>
    <w:p w14:paraId="0F4A734E" w14:textId="1125C820" w:rsidR="00F61E77" w:rsidRPr="00865042" w:rsidRDefault="00865042" w:rsidP="00CE5DD3">
      <w:pPr>
        <w:jc w:val="center"/>
        <w:rPr>
          <w:rFonts w:asciiTheme="minorHAnsi" w:hAnsiTheme="minorHAnsi" w:cstheme="minorHAnsi"/>
          <w:b/>
        </w:rPr>
      </w:pPr>
      <w:r>
        <w:rPr>
          <w:rFonts w:asciiTheme="minorHAnsi" w:hAnsiTheme="minorHAnsi"/>
          <w:b/>
        </w:rPr>
        <w:t>PRIJAVA NA NATJEČAJ</w:t>
      </w:r>
    </w:p>
    <w:p w14:paraId="392D07B1" w14:textId="77777777" w:rsidR="00F61E77" w:rsidRPr="00865042" w:rsidRDefault="00F61E77" w:rsidP="00F61E77">
      <w:pPr>
        <w:ind w:firstLine="720"/>
        <w:jc w:val="both"/>
        <w:rPr>
          <w:rFonts w:ascii="Calibri" w:hAnsi="Calibri" w:cs="Calibri"/>
          <w:sz w:val="20"/>
          <w:szCs w:val="20"/>
        </w:rPr>
      </w:pPr>
    </w:p>
    <w:p w14:paraId="354FF0DA" w14:textId="54524207" w:rsidR="00F61E77" w:rsidRPr="00865042" w:rsidRDefault="00865042" w:rsidP="00F61E77">
      <w:pPr>
        <w:ind w:firstLine="720"/>
        <w:jc w:val="both"/>
        <w:rPr>
          <w:rFonts w:asciiTheme="minorHAnsi" w:hAnsiTheme="minorHAnsi" w:cstheme="minorHAnsi"/>
        </w:rPr>
      </w:pPr>
      <w:r>
        <w:rPr>
          <w:rFonts w:asciiTheme="minorHAnsi" w:hAnsiTheme="minorHAnsi"/>
        </w:rPr>
        <w:t>Prijava na natječaj se podnosi na jedinstvenom obrascu koji se objavljuje na mrežnoj stranici Tajništva.</w:t>
      </w:r>
    </w:p>
    <w:p w14:paraId="56D7AD8A" w14:textId="7615CD9F" w:rsidR="00F61E77" w:rsidRPr="00865042" w:rsidRDefault="00865042" w:rsidP="00F61E77">
      <w:pPr>
        <w:ind w:firstLine="720"/>
        <w:jc w:val="both"/>
        <w:rPr>
          <w:rFonts w:asciiTheme="minorHAnsi" w:hAnsiTheme="minorHAnsi" w:cstheme="minorHAnsi"/>
        </w:rPr>
      </w:pPr>
      <w:r>
        <w:rPr>
          <w:rFonts w:asciiTheme="minorHAnsi" w:hAnsiTheme="minorHAnsi"/>
        </w:rPr>
        <w:t xml:space="preserve">Natječaj je otvoren od </w:t>
      </w:r>
      <w:r>
        <w:rPr>
          <w:rFonts w:asciiTheme="minorHAnsi" w:hAnsiTheme="minorHAnsi"/>
          <w:b/>
        </w:rPr>
        <w:t>24. listopada 2025. godine do 3. studenoga 2025. godine</w:t>
      </w:r>
      <w:r>
        <w:rPr>
          <w:rFonts w:asciiTheme="minorHAnsi" w:hAnsiTheme="minorHAnsi"/>
        </w:rPr>
        <w:t>.</w:t>
      </w:r>
    </w:p>
    <w:p w14:paraId="3ECA98ED" w14:textId="467EFF12" w:rsidR="00905A66" w:rsidRPr="00865042" w:rsidRDefault="00865042" w:rsidP="00905A66">
      <w:pPr>
        <w:ind w:firstLine="720"/>
        <w:jc w:val="both"/>
        <w:rPr>
          <w:rFonts w:asciiTheme="minorHAnsi" w:hAnsiTheme="minorHAnsi" w:cstheme="minorHAnsi"/>
        </w:rPr>
      </w:pPr>
      <w:r>
        <w:rPr>
          <w:rFonts w:asciiTheme="minorHAnsi" w:hAnsiTheme="minorHAnsi"/>
        </w:rPr>
        <w:t>Obrazac prijave treba sadržavati 10 učenika – razvrstanih po spolu kao i stručnih suradnika, odnosno nastavnika za školu koja se prijavljuje. U dijelu obrasca prijave koji se odnosi na učenike – upisuje se samo broj učenika po spolu i razred koji pohađaju, bez navođenja osobnih podataka učenika, a u dijelu obrasca prijave koji se odnosi na stručnog suradnika, odnosno nastavnika, potrebno je da se za tog stručnog suradnika, odnosno nastavnika navedu svi traženi podaci kao i kompetencije i spol.</w:t>
      </w:r>
    </w:p>
    <w:p w14:paraId="7D59A059" w14:textId="1DCCD388" w:rsidR="00905A66" w:rsidRPr="00865042" w:rsidRDefault="00865042" w:rsidP="00905A66">
      <w:pPr>
        <w:ind w:firstLine="720"/>
        <w:jc w:val="both"/>
        <w:rPr>
          <w:rFonts w:asciiTheme="minorHAnsi" w:hAnsiTheme="minorHAnsi" w:cstheme="minorHAnsi"/>
        </w:rPr>
      </w:pPr>
      <w:r>
        <w:rPr>
          <w:rFonts w:asciiTheme="minorHAnsi" w:hAnsiTheme="minorHAnsi"/>
        </w:rPr>
        <w:t xml:space="preserve">Za točnost podataka navedenih u obrascu prijave, odgovoran je ravnatelj škole. </w:t>
      </w:r>
    </w:p>
    <w:p w14:paraId="726977E1" w14:textId="1EDA5EB9" w:rsidR="00905A66" w:rsidRPr="00865042" w:rsidRDefault="00865042" w:rsidP="00905A66">
      <w:pPr>
        <w:ind w:firstLine="720"/>
        <w:jc w:val="both"/>
        <w:rPr>
          <w:rFonts w:asciiTheme="minorHAnsi" w:hAnsiTheme="minorHAnsi" w:cstheme="minorHAnsi"/>
        </w:rPr>
      </w:pPr>
      <w:r>
        <w:rPr>
          <w:rFonts w:asciiTheme="minorHAnsi" w:hAnsiTheme="minorHAnsi"/>
        </w:rPr>
        <w:t>Ukoliko prijavu potpisuje osoba po ovlaštenju, neophodno je priložiti uredno ovlaštenje za potpisivanje iste.</w:t>
      </w:r>
    </w:p>
    <w:p w14:paraId="5328F530" w14:textId="0C928B6C" w:rsidR="00905A66" w:rsidRPr="00865042" w:rsidRDefault="00865042" w:rsidP="00905A66">
      <w:pPr>
        <w:ind w:firstLine="720"/>
        <w:jc w:val="both"/>
        <w:rPr>
          <w:rFonts w:asciiTheme="minorHAnsi" w:hAnsiTheme="minorHAnsi" w:cstheme="minorHAnsi"/>
        </w:rPr>
      </w:pPr>
      <w:r>
        <w:rPr>
          <w:rFonts w:asciiTheme="minorHAnsi" w:hAnsiTheme="minorHAnsi"/>
        </w:rPr>
        <w:t xml:space="preserve">Uz Prijavu na Natječaj, popunjava se i Zdravstveni list učenika koji je neophodno popuniti i dostaviti stručnom suradniku, odnosno nastavniku škole koji će biti u pratnji djeteta. Također, potrebno je pribaviti pismenu suglasnost roditelja, odnosno zakonskog skrbnika za </w:t>
      </w:r>
      <w:r>
        <w:rPr>
          <w:rFonts w:asciiTheme="minorHAnsi" w:hAnsiTheme="minorHAnsi"/>
        </w:rPr>
        <w:lastRenderedPageBreak/>
        <w:t>fotografiranje i snimanje djece i njihovo sudjelovanje u kreiranju videomaterijala. Zdravstveni list i suglasnost za fotografiranje i snimanje djeteta se ne dostavljaju Tajništvu već ih stručni suradnik odnosno nastavnik nosi sa sobom na Andrevlje.</w:t>
      </w:r>
    </w:p>
    <w:p w14:paraId="6553156A" w14:textId="53372850" w:rsidR="00905A66" w:rsidRPr="00865042" w:rsidRDefault="00865042" w:rsidP="00905A66">
      <w:pPr>
        <w:ind w:firstLine="720"/>
        <w:jc w:val="both"/>
        <w:rPr>
          <w:rFonts w:asciiTheme="minorHAnsi" w:hAnsiTheme="minorHAnsi" w:cstheme="minorHAnsi"/>
        </w:rPr>
      </w:pPr>
      <w:r>
        <w:rPr>
          <w:rFonts w:asciiTheme="minorHAnsi" w:hAnsiTheme="minorHAnsi"/>
        </w:rPr>
        <w:t>Tajništvo zadržava pravo od podnositelja prijave, po potrebi, zatražiti dodatnu dokumentaciju i informacije, te ukoliko u roku od 8 dana podnositelj prijave ne postupi po zahtjevu za dopunu dokumentacije, Tajništvo će prijavu smatrati nepotpunom.</w:t>
      </w:r>
    </w:p>
    <w:p w14:paraId="2D72A87B" w14:textId="77777777" w:rsidR="00905A66" w:rsidRPr="00865042" w:rsidRDefault="00905A66" w:rsidP="00F61E77">
      <w:pPr>
        <w:ind w:firstLine="720"/>
        <w:jc w:val="both"/>
        <w:rPr>
          <w:rFonts w:asciiTheme="minorHAnsi" w:hAnsiTheme="minorHAnsi" w:cstheme="minorHAnsi"/>
        </w:rPr>
      </w:pPr>
    </w:p>
    <w:p w14:paraId="3EEA3795" w14:textId="01DDA06F" w:rsidR="00905A66" w:rsidRPr="00865042" w:rsidRDefault="00865042" w:rsidP="00905A66">
      <w:pPr>
        <w:spacing w:line="100" w:lineRule="atLeast"/>
        <w:ind w:left="-284" w:right="-431" w:firstLine="720"/>
        <w:rPr>
          <w:rFonts w:asciiTheme="minorHAnsi" w:hAnsiTheme="minorHAnsi" w:cstheme="minorHAnsi"/>
        </w:rPr>
      </w:pPr>
      <w:r>
        <w:rPr>
          <w:rFonts w:asciiTheme="minorHAnsi" w:hAnsiTheme="minorHAnsi"/>
        </w:rPr>
        <w:t>Nakon isteka roka za podnošenje prijava, Povjerenstvo pristupa razmatranju prijava.</w:t>
      </w:r>
    </w:p>
    <w:p w14:paraId="3A6325F9" w14:textId="2B827101" w:rsidR="00905A66" w:rsidRPr="00865042" w:rsidRDefault="00865042" w:rsidP="00905A66">
      <w:pPr>
        <w:spacing w:line="100" w:lineRule="atLeast"/>
        <w:ind w:left="-284" w:right="-431" w:firstLine="720"/>
        <w:rPr>
          <w:rFonts w:asciiTheme="minorHAnsi" w:hAnsiTheme="minorHAnsi" w:cstheme="minorHAnsi"/>
        </w:rPr>
      </w:pPr>
      <w:r>
        <w:rPr>
          <w:rFonts w:asciiTheme="minorHAnsi" w:hAnsiTheme="minorHAnsi"/>
        </w:rPr>
        <w:t xml:space="preserve">Povjerenstvo neće uzeti u razmatranje prijave: </w:t>
      </w:r>
    </w:p>
    <w:p w14:paraId="08B488F1" w14:textId="439A21E9" w:rsidR="00905A66" w:rsidRPr="00865042" w:rsidRDefault="00865042" w:rsidP="00905A66">
      <w:pPr>
        <w:pStyle w:val="ListParagraph"/>
        <w:numPr>
          <w:ilvl w:val="0"/>
          <w:numId w:val="34"/>
        </w:numPr>
        <w:spacing w:line="276" w:lineRule="auto"/>
        <w:jc w:val="both"/>
        <w:rPr>
          <w:rFonts w:asciiTheme="minorHAnsi" w:hAnsiTheme="minorHAnsi" w:cstheme="minorHAnsi"/>
        </w:rPr>
      </w:pPr>
      <w:r>
        <w:rPr>
          <w:rFonts w:asciiTheme="minorHAnsi" w:hAnsiTheme="minorHAnsi"/>
        </w:rPr>
        <w:t>prijave podnesene od strane osoba koje su neovlaštene i subjekata koji nisu predviđeni natječajem;</w:t>
      </w:r>
    </w:p>
    <w:p w14:paraId="10F643F8" w14:textId="08759601" w:rsidR="00905A66" w:rsidRPr="00865042" w:rsidRDefault="00865042" w:rsidP="00905A66">
      <w:pPr>
        <w:pStyle w:val="ListParagraph"/>
        <w:numPr>
          <w:ilvl w:val="0"/>
          <w:numId w:val="34"/>
        </w:numPr>
        <w:spacing w:after="200" w:line="276" w:lineRule="auto"/>
        <w:jc w:val="both"/>
        <w:rPr>
          <w:rFonts w:asciiTheme="minorHAnsi" w:hAnsiTheme="minorHAnsi" w:cstheme="minorHAnsi"/>
        </w:rPr>
      </w:pPr>
      <w:r>
        <w:rPr>
          <w:rFonts w:asciiTheme="minorHAnsi" w:hAnsiTheme="minorHAnsi"/>
        </w:rPr>
        <w:t>prijave koje se ne odnose na natječajem predviđene namjene iz članka 2. ovog Pravilnika;</w:t>
      </w:r>
    </w:p>
    <w:p w14:paraId="529A4055" w14:textId="16E5DF4C" w:rsidR="00905A66" w:rsidRPr="00865042" w:rsidRDefault="00865042" w:rsidP="00905A66">
      <w:pPr>
        <w:pStyle w:val="ListParagraph"/>
        <w:numPr>
          <w:ilvl w:val="0"/>
          <w:numId w:val="34"/>
        </w:numPr>
        <w:spacing w:after="200" w:line="276" w:lineRule="auto"/>
        <w:jc w:val="both"/>
        <w:rPr>
          <w:rFonts w:asciiTheme="minorHAnsi" w:hAnsiTheme="minorHAnsi" w:cstheme="minorHAnsi"/>
        </w:rPr>
      </w:pPr>
      <w:r>
        <w:rPr>
          <w:rFonts w:asciiTheme="minorHAnsi" w:hAnsiTheme="minorHAnsi"/>
        </w:rPr>
        <w:t>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videomaterijala kao dokaza o realiziranim aktivnostima;</w:t>
      </w:r>
    </w:p>
    <w:p w14:paraId="02A2E269" w14:textId="190E7C02" w:rsidR="00905A66" w:rsidRPr="00865042" w:rsidRDefault="00865042" w:rsidP="00905A66">
      <w:pPr>
        <w:pStyle w:val="ListParagraph"/>
        <w:numPr>
          <w:ilvl w:val="0"/>
          <w:numId w:val="34"/>
        </w:numPr>
        <w:spacing w:after="200" w:line="276" w:lineRule="auto"/>
        <w:jc w:val="both"/>
        <w:rPr>
          <w:rFonts w:asciiTheme="minorHAnsi" w:hAnsiTheme="minorHAnsi" w:cstheme="minorHAnsi"/>
        </w:rPr>
      </w:pPr>
      <w:r>
        <w:rPr>
          <w:rFonts w:asciiTheme="minorHAnsi" w:hAnsiTheme="minorHAnsi"/>
        </w:rPr>
        <w:t xml:space="preserve">prijave podnositelja prijava koji narativno/financijsko izvješće o realizaciji programa/projekata iz prethodne godine nisu dostavili u predviđenim rokovima; </w:t>
      </w:r>
    </w:p>
    <w:p w14:paraId="3DD48E57" w14:textId="42848CDA" w:rsidR="00905A66" w:rsidRPr="00865042" w:rsidRDefault="00865042" w:rsidP="00905A66">
      <w:pPr>
        <w:pStyle w:val="ListParagraph"/>
        <w:numPr>
          <w:ilvl w:val="0"/>
          <w:numId w:val="34"/>
        </w:numPr>
        <w:spacing w:after="200" w:line="276" w:lineRule="auto"/>
        <w:jc w:val="both"/>
        <w:rPr>
          <w:rFonts w:asciiTheme="minorHAnsi" w:hAnsiTheme="minorHAnsi" w:cstheme="minorHAnsi"/>
        </w:rPr>
      </w:pPr>
      <w:r>
        <w:rPr>
          <w:rFonts w:asciiTheme="minorHAnsi" w:hAnsiTheme="minorHAnsi"/>
        </w:rPr>
        <w:t>prijave koje se odnose na nabavu opreme ili održavanje opreme koja je u funkciji realizaciji projekta, kao ni ostale kapitalne troškove.</w:t>
      </w:r>
    </w:p>
    <w:p w14:paraId="65637FE2" w14:textId="28B487AE" w:rsidR="00A501AC" w:rsidRPr="00CE5DD3" w:rsidRDefault="00865042" w:rsidP="00CE5DD3">
      <w:pPr>
        <w:ind w:firstLine="708"/>
        <w:jc w:val="both"/>
        <w:rPr>
          <w:rFonts w:asciiTheme="minorHAnsi" w:hAnsiTheme="minorHAnsi" w:cstheme="minorHAnsi"/>
          <w:b/>
        </w:rPr>
      </w:pPr>
      <w:r>
        <w:rPr>
          <w:rFonts w:asciiTheme="minorHAnsi" w:hAnsiTheme="minorHAnsi"/>
          <w:b/>
        </w:rPr>
        <w:t>Rok za podnošenje prijava na Natječaj je 3. studenog 2025. godine.</w:t>
      </w:r>
    </w:p>
    <w:p w14:paraId="09DC5276" w14:textId="77777777" w:rsidR="0064385F" w:rsidRPr="00865042" w:rsidRDefault="0064385F" w:rsidP="007E0CC6">
      <w:pPr>
        <w:jc w:val="center"/>
        <w:rPr>
          <w:rFonts w:asciiTheme="minorHAnsi" w:hAnsiTheme="minorHAnsi" w:cstheme="minorHAnsi"/>
          <w:b/>
        </w:rPr>
      </w:pPr>
    </w:p>
    <w:p w14:paraId="53189FA1" w14:textId="46853FF1" w:rsidR="007E0CC6" w:rsidRPr="00865042" w:rsidRDefault="00865042" w:rsidP="007E0CC6">
      <w:pPr>
        <w:jc w:val="center"/>
        <w:rPr>
          <w:rFonts w:asciiTheme="minorHAnsi" w:hAnsiTheme="minorHAnsi" w:cstheme="minorHAnsi"/>
          <w:b/>
        </w:rPr>
      </w:pPr>
      <w:r>
        <w:rPr>
          <w:rFonts w:asciiTheme="minorHAnsi" w:hAnsiTheme="minorHAnsi"/>
          <w:b/>
        </w:rPr>
        <w:t>NAČIN PRIJAVE</w:t>
      </w:r>
    </w:p>
    <w:p w14:paraId="72B0B84E" w14:textId="77777777" w:rsidR="007E0CC6" w:rsidRPr="00865042" w:rsidRDefault="007E0CC6" w:rsidP="007E0CC6">
      <w:pPr>
        <w:jc w:val="both"/>
        <w:rPr>
          <w:rFonts w:asciiTheme="minorHAnsi" w:hAnsiTheme="minorHAnsi" w:cstheme="minorHAnsi"/>
        </w:rPr>
      </w:pPr>
    </w:p>
    <w:p w14:paraId="222F4E61" w14:textId="032A9534" w:rsidR="00FB5DFB" w:rsidRPr="00865042" w:rsidRDefault="00865042" w:rsidP="00FB5DFB">
      <w:pPr>
        <w:ind w:firstLine="708"/>
        <w:jc w:val="both"/>
        <w:rPr>
          <w:rFonts w:asciiTheme="minorHAnsi" w:hAnsiTheme="minorHAnsi" w:cstheme="minorHAnsi"/>
        </w:rPr>
      </w:pPr>
      <w:r>
        <w:rPr>
          <w:rFonts w:asciiTheme="minorHAnsi" w:hAnsiTheme="minorHAnsi"/>
        </w:rPr>
        <w:t xml:space="preserve">Prijave na Natječaj (isključivo na popunjenom obrascu prijave, koja se nalazi na mrežnoj stranici Pokrajinskog tajništva) dostavljaju se u </w:t>
      </w:r>
      <w:r>
        <w:rPr>
          <w:rFonts w:asciiTheme="minorHAnsi" w:hAnsiTheme="minorHAnsi"/>
          <w:u w:val="single"/>
        </w:rPr>
        <w:t>papirnatom obliku</w:t>
      </w:r>
      <w:r w:rsidR="00CE5DD3">
        <w:rPr>
          <w:rFonts w:asciiTheme="minorHAnsi" w:hAnsiTheme="minorHAnsi"/>
        </w:rPr>
        <w:t xml:space="preserve"> u </w:t>
      </w:r>
      <w:r>
        <w:rPr>
          <w:rFonts w:asciiTheme="minorHAnsi" w:hAnsiTheme="minorHAnsi"/>
        </w:rPr>
        <w:t xml:space="preserve">zatvorenoj omotnici na adresu: </w:t>
      </w:r>
    </w:p>
    <w:p w14:paraId="0BDE9E8E" w14:textId="77777777" w:rsidR="00FB5DFB" w:rsidRPr="00865042" w:rsidRDefault="00FB5DFB" w:rsidP="00FB5DFB">
      <w:pPr>
        <w:ind w:firstLine="708"/>
        <w:jc w:val="both"/>
        <w:rPr>
          <w:rFonts w:asciiTheme="minorHAnsi" w:hAnsiTheme="minorHAnsi" w:cstheme="minorHAnsi"/>
        </w:rPr>
      </w:pPr>
    </w:p>
    <w:p w14:paraId="4FC3615C" w14:textId="16234EA2" w:rsidR="00FB5DFB" w:rsidRPr="00865042" w:rsidRDefault="00865042" w:rsidP="00FB5DFB">
      <w:pPr>
        <w:ind w:firstLine="708"/>
        <w:jc w:val="both"/>
        <w:rPr>
          <w:rFonts w:asciiTheme="minorHAnsi" w:hAnsiTheme="minorHAnsi" w:cstheme="minorHAnsi"/>
        </w:rPr>
      </w:pPr>
      <w:r>
        <w:rPr>
          <w:rFonts w:asciiTheme="minorHAnsi" w:hAnsiTheme="minorHAnsi"/>
          <w:b/>
        </w:rPr>
        <w:t>POKRAJINSK</w:t>
      </w:r>
      <w:r w:rsidR="00CE5DD3">
        <w:rPr>
          <w:rFonts w:asciiTheme="minorHAnsi" w:hAnsiTheme="minorHAnsi"/>
          <w:b/>
        </w:rPr>
        <w:t>O</w:t>
      </w:r>
      <w:r>
        <w:rPr>
          <w:rFonts w:asciiTheme="minorHAnsi" w:hAnsiTheme="minorHAnsi"/>
          <w:b/>
        </w:rPr>
        <w:t xml:space="preserve"> TAJNIŠTVO ZA OBRAZOVANJE, PROPISE, UPRAVU I NACIONALNE MANJINE – NACIONALNE ZAJEDNICE, BULEVAR MIHAJLA PUPINA 16, 21000 NOVI SAD</w:t>
      </w:r>
      <w:r w:rsidR="00CE5DD3">
        <w:rPr>
          <w:rFonts w:asciiTheme="minorHAnsi" w:hAnsiTheme="minorHAnsi"/>
        </w:rPr>
        <w:t>, s</w:t>
      </w:r>
      <w:r>
        <w:rPr>
          <w:rFonts w:asciiTheme="minorHAnsi" w:hAnsiTheme="minorHAnsi"/>
        </w:rPr>
        <w:t xml:space="preserve"> naznakom </w:t>
      </w:r>
      <w:r>
        <w:rPr>
          <w:rFonts w:asciiTheme="minorHAnsi" w:hAnsiTheme="minorHAnsi"/>
          <w:b/>
        </w:rPr>
        <w:t>naziva natječaja/programa i projekta</w:t>
      </w:r>
      <w:r>
        <w:rPr>
          <w:rFonts w:asciiTheme="minorHAnsi" w:hAnsiTheme="minorHAnsi"/>
        </w:rPr>
        <w:t xml:space="preserve">, poštom ili osobno predajom pisarnici pokrajinskih tijela uprave (na navedenu adresu) u vremenu od 9.00 do 14.00 sati. </w:t>
      </w:r>
    </w:p>
    <w:p w14:paraId="7E139148" w14:textId="77777777" w:rsidR="00FB5DFB" w:rsidRPr="00865042" w:rsidRDefault="00FB5DFB" w:rsidP="00D64227">
      <w:pPr>
        <w:ind w:firstLine="708"/>
        <w:jc w:val="both"/>
        <w:rPr>
          <w:rFonts w:asciiTheme="minorHAnsi" w:hAnsiTheme="minorHAnsi" w:cstheme="minorHAnsi"/>
        </w:rPr>
      </w:pPr>
    </w:p>
    <w:p w14:paraId="25D751FA" w14:textId="2F5CE061" w:rsidR="00A501AC" w:rsidRPr="00865042" w:rsidRDefault="00865042" w:rsidP="00D64227">
      <w:pPr>
        <w:ind w:firstLine="708"/>
        <w:jc w:val="both"/>
        <w:rPr>
          <w:rFonts w:asciiTheme="minorHAnsi" w:hAnsiTheme="minorHAnsi" w:cstheme="minorHAnsi"/>
          <w:b/>
          <w:u w:val="single"/>
        </w:rPr>
      </w:pPr>
      <w:r>
        <w:rPr>
          <w:rFonts w:asciiTheme="minorHAnsi" w:hAnsiTheme="minorHAnsi"/>
        </w:rPr>
        <w:t xml:space="preserve">Obrazac prijave se može preuzeti </w:t>
      </w:r>
      <w:r>
        <w:rPr>
          <w:rFonts w:asciiTheme="minorHAnsi" w:hAnsiTheme="minorHAnsi"/>
          <w:b/>
        </w:rPr>
        <w:t>od 24. listopada 2025. godine</w:t>
      </w:r>
      <w:r>
        <w:rPr>
          <w:rFonts w:asciiTheme="minorHAnsi" w:hAnsiTheme="minorHAnsi"/>
        </w:rPr>
        <w:t xml:space="preserve"> na službenoj stranici Pokrajinskog tajništva za obrazovanje, propise, upravu i nacionalne manjine </w:t>
      </w:r>
      <w:r w:rsidR="00CE5DD3">
        <w:rPr>
          <w:rFonts w:asciiTheme="minorHAnsi" w:hAnsiTheme="minorHAnsi"/>
        </w:rPr>
        <w:t>–</w:t>
      </w:r>
      <w:r>
        <w:rPr>
          <w:rFonts w:asciiTheme="minorHAnsi" w:hAnsiTheme="minorHAnsi"/>
        </w:rPr>
        <w:t xml:space="preserve"> nacionalne zajednice: </w:t>
      </w:r>
      <w:hyperlink r:id="rId8" w:history="1">
        <w:r>
          <w:rPr>
            <w:rStyle w:val="Hyperlink"/>
            <w:rFonts w:asciiTheme="minorHAnsi" w:hAnsiTheme="minorHAnsi"/>
            <w:b/>
            <w:color w:val="auto"/>
          </w:rPr>
          <w:t>www.puma.vojvodina.gov.rs</w:t>
        </w:r>
      </w:hyperlink>
      <w:r>
        <w:rPr>
          <w:rFonts w:asciiTheme="minorHAnsi" w:hAnsiTheme="minorHAnsi"/>
          <w:b/>
          <w:u w:val="single"/>
        </w:rPr>
        <w:t>.</w:t>
      </w:r>
    </w:p>
    <w:p w14:paraId="5070A71B" w14:textId="77777777" w:rsidR="00142C4C" w:rsidRPr="00865042" w:rsidRDefault="00142C4C" w:rsidP="00D64227">
      <w:pPr>
        <w:jc w:val="both"/>
        <w:rPr>
          <w:rFonts w:asciiTheme="minorHAnsi" w:hAnsiTheme="minorHAnsi" w:cstheme="minorHAnsi"/>
          <w:b/>
          <w:u w:val="single"/>
        </w:rPr>
      </w:pPr>
    </w:p>
    <w:p w14:paraId="4E1781DE" w14:textId="67CF9921" w:rsidR="00497741" w:rsidRPr="00865042" w:rsidRDefault="00865042" w:rsidP="00CE5DD3">
      <w:pPr>
        <w:ind w:firstLine="708"/>
        <w:jc w:val="both"/>
        <w:rPr>
          <w:rFonts w:asciiTheme="minorHAnsi" w:hAnsiTheme="minorHAnsi" w:cstheme="minorHAnsi"/>
        </w:rPr>
      </w:pPr>
      <w:r>
        <w:rPr>
          <w:rFonts w:asciiTheme="minorHAnsi" w:hAnsiTheme="minorHAnsi"/>
        </w:rPr>
        <w:t>Informacije u vezi s Natječajem mogu se dobiti na telefon: 021/ 487 4330, 487 4035.</w:t>
      </w:r>
    </w:p>
    <w:p w14:paraId="72FB0A93" w14:textId="77777777" w:rsidR="00CE5DD3" w:rsidRDefault="00CE5DD3" w:rsidP="00CE5DD3">
      <w:pPr>
        <w:ind w:left="6663"/>
        <w:jc w:val="center"/>
        <w:rPr>
          <w:rFonts w:asciiTheme="minorHAnsi" w:hAnsiTheme="minorHAnsi"/>
        </w:rPr>
      </w:pPr>
    </w:p>
    <w:p w14:paraId="4CCDC071" w14:textId="591E1AE8" w:rsidR="00CE5DD3" w:rsidRPr="00865042" w:rsidRDefault="00CE5DD3" w:rsidP="00CE5DD3">
      <w:pPr>
        <w:ind w:left="6663"/>
        <w:jc w:val="center"/>
        <w:rPr>
          <w:rFonts w:asciiTheme="minorHAnsi" w:hAnsiTheme="minorHAnsi" w:cstheme="minorHAnsi"/>
        </w:rPr>
      </w:pPr>
      <w:r>
        <w:rPr>
          <w:rFonts w:asciiTheme="minorHAnsi" w:hAnsiTheme="minorHAnsi"/>
        </w:rPr>
        <w:t>POKRAJINSKI TAJNIK</w:t>
      </w:r>
    </w:p>
    <w:p w14:paraId="0C5C940F" w14:textId="77777777" w:rsidR="00CE5DD3" w:rsidRPr="00865042" w:rsidRDefault="00CE5DD3" w:rsidP="00CE5DD3">
      <w:pPr>
        <w:ind w:left="6663"/>
        <w:jc w:val="center"/>
        <w:rPr>
          <w:rFonts w:asciiTheme="minorHAnsi" w:hAnsiTheme="minorHAnsi" w:cstheme="minorHAnsi"/>
        </w:rPr>
      </w:pPr>
      <w:r>
        <w:rPr>
          <w:rFonts w:asciiTheme="minorHAnsi" w:hAnsiTheme="minorHAnsi"/>
        </w:rPr>
        <w:t>Róbert Ótott</w:t>
      </w:r>
    </w:p>
    <w:p w14:paraId="6B607AA5" w14:textId="63A1C6BC" w:rsidR="00870182" w:rsidRPr="00865042" w:rsidRDefault="00870182" w:rsidP="006D0777">
      <w:pPr>
        <w:jc w:val="both"/>
        <w:rPr>
          <w:rFonts w:asciiTheme="minorHAnsi" w:hAnsiTheme="minorHAnsi" w:cstheme="minorHAnsi"/>
        </w:rPr>
      </w:pPr>
    </w:p>
    <w:sectPr w:rsidR="00870182" w:rsidRPr="00865042" w:rsidSect="00B42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517"/>
    <w:multiLevelType w:val="hybridMultilevel"/>
    <w:tmpl w:val="6CB61380"/>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6005592"/>
    <w:multiLevelType w:val="hybridMultilevel"/>
    <w:tmpl w:val="111E1904"/>
    <w:lvl w:ilvl="0" w:tplc="B9F226C0">
      <w:start w:val="1"/>
      <w:numFmt w:val="decimal"/>
      <w:lvlText w:val="%1."/>
      <w:lvlJc w:val="left"/>
      <w:pPr>
        <w:ind w:left="2508" w:hanging="360"/>
      </w:pPr>
      <w:rPr>
        <w:rFonts w:cs="Times New Roman"/>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2" w15:restartNumberingAfterBreak="0">
    <w:nsid w:val="071A1209"/>
    <w:multiLevelType w:val="hybridMultilevel"/>
    <w:tmpl w:val="EBB06854"/>
    <w:lvl w:ilvl="0" w:tplc="D68C5C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5E6A2D"/>
    <w:multiLevelType w:val="hybridMultilevel"/>
    <w:tmpl w:val="03A050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0CC0FC2"/>
    <w:multiLevelType w:val="hybridMultilevel"/>
    <w:tmpl w:val="D506E022"/>
    <w:lvl w:ilvl="0" w:tplc="18FE470E">
      <w:start w:val="1"/>
      <w:numFmt w:val="decimal"/>
      <w:lvlText w:val="%1."/>
      <w:lvlJc w:val="left"/>
      <w:pPr>
        <w:ind w:left="3942" w:hanging="360"/>
      </w:pPr>
      <w:rPr>
        <w:rFonts w:cs="Times New Roman" w:hint="default"/>
        <w:b/>
      </w:rPr>
    </w:lvl>
    <w:lvl w:ilvl="1" w:tplc="241A0019" w:tentative="1">
      <w:start w:val="1"/>
      <w:numFmt w:val="lowerLetter"/>
      <w:lvlText w:val="%2."/>
      <w:lvlJc w:val="left"/>
      <w:pPr>
        <w:ind w:left="4662" w:hanging="360"/>
      </w:pPr>
      <w:rPr>
        <w:rFonts w:cs="Times New Roman"/>
      </w:rPr>
    </w:lvl>
    <w:lvl w:ilvl="2" w:tplc="241A001B" w:tentative="1">
      <w:start w:val="1"/>
      <w:numFmt w:val="lowerRoman"/>
      <w:lvlText w:val="%3."/>
      <w:lvlJc w:val="right"/>
      <w:pPr>
        <w:ind w:left="5382" w:hanging="180"/>
      </w:pPr>
      <w:rPr>
        <w:rFonts w:cs="Times New Roman"/>
      </w:rPr>
    </w:lvl>
    <w:lvl w:ilvl="3" w:tplc="241A000F" w:tentative="1">
      <w:start w:val="1"/>
      <w:numFmt w:val="decimal"/>
      <w:lvlText w:val="%4."/>
      <w:lvlJc w:val="left"/>
      <w:pPr>
        <w:ind w:left="6102" w:hanging="360"/>
      </w:pPr>
      <w:rPr>
        <w:rFonts w:cs="Times New Roman"/>
      </w:rPr>
    </w:lvl>
    <w:lvl w:ilvl="4" w:tplc="241A0019" w:tentative="1">
      <w:start w:val="1"/>
      <w:numFmt w:val="lowerLetter"/>
      <w:lvlText w:val="%5."/>
      <w:lvlJc w:val="left"/>
      <w:pPr>
        <w:ind w:left="6822" w:hanging="360"/>
      </w:pPr>
      <w:rPr>
        <w:rFonts w:cs="Times New Roman"/>
      </w:rPr>
    </w:lvl>
    <w:lvl w:ilvl="5" w:tplc="241A001B" w:tentative="1">
      <w:start w:val="1"/>
      <w:numFmt w:val="lowerRoman"/>
      <w:lvlText w:val="%6."/>
      <w:lvlJc w:val="right"/>
      <w:pPr>
        <w:ind w:left="7542" w:hanging="180"/>
      </w:pPr>
      <w:rPr>
        <w:rFonts w:cs="Times New Roman"/>
      </w:rPr>
    </w:lvl>
    <w:lvl w:ilvl="6" w:tplc="241A000F" w:tentative="1">
      <w:start w:val="1"/>
      <w:numFmt w:val="decimal"/>
      <w:lvlText w:val="%7."/>
      <w:lvlJc w:val="left"/>
      <w:pPr>
        <w:ind w:left="8262" w:hanging="360"/>
      </w:pPr>
      <w:rPr>
        <w:rFonts w:cs="Times New Roman"/>
      </w:rPr>
    </w:lvl>
    <w:lvl w:ilvl="7" w:tplc="241A0019" w:tentative="1">
      <w:start w:val="1"/>
      <w:numFmt w:val="lowerLetter"/>
      <w:lvlText w:val="%8."/>
      <w:lvlJc w:val="left"/>
      <w:pPr>
        <w:ind w:left="8982" w:hanging="360"/>
      </w:pPr>
      <w:rPr>
        <w:rFonts w:cs="Times New Roman"/>
      </w:rPr>
    </w:lvl>
    <w:lvl w:ilvl="8" w:tplc="241A001B" w:tentative="1">
      <w:start w:val="1"/>
      <w:numFmt w:val="lowerRoman"/>
      <w:lvlText w:val="%9."/>
      <w:lvlJc w:val="right"/>
      <w:pPr>
        <w:ind w:left="9702" w:hanging="180"/>
      </w:pPr>
      <w:rPr>
        <w:rFonts w:cs="Times New Roman"/>
      </w:rPr>
    </w:lvl>
  </w:abstractNum>
  <w:abstractNum w:abstractNumId="6"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B152D8F"/>
    <w:multiLevelType w:val="hybridMultilevel"/>
    <w:tmpl w:val="EED4D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3589F"/>
    <w:multiLevelType w:val="multilevel"/>
    <w:tmpl w:val="3C4A6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C3B1C77"/>
    <w:multiLevelType w:val="hybridMultilevel"/>
    <w:tmpl w:val="48A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2D0D6E"/>
    <w:multiLevelType w:val="hybridMultilevel"/>
    <w:tmpl w:val="D890BA0A"/>
    <w:lvl w:ilvl="0" w:tplc="C58E6C0E">
      <w:start w:val="1"/>
      <w:numFmt w:val="decimal"/>
      <w:lvlText w:val="%1."/>
      <w:lvlJc w:val="left"/>
      <w:pPr>
        <w:tabs>
          <w:tab w:val="num" w:pos="1440"/>
        </w:tabs>
        <w:ind w:left="1440" w:hanging="360"/>
      </w:pPr>
      <w:rPr>
        <w:rFonts w:cs="Times New Roman"/>
        <w:color w:val="auto"/>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4462036"/>
    <w:multiLevelType w:val="hybridMultilevel"/>
    <w:tmpl w:val="B2A8537C"/>
    <w:lvl w:ilvl="0" w:tplc="57CC88AC">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5" w15:restartNumberingAfterBreak="0">
    <w:nsid w:val="345C7A16"/>
    <w:multiLevelType w:val="hybridMultilevel"/>
    <w:tmpl w:val="1AEE9A52"/>
    <w:lvl w:ilvl="0" w:tplc="7DE2D4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A0CC5"/>
    <w:multiLevelType w:val="hybridMultilevel"/>
    <w:tmpl w:val="61EE7ABA"/>
    <w:lvl w:ilvl="0" w:tplc="AAA4EA96">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3D16415E"/>
    <w:multiLevelType w:val="hybridMultilevel"/>
    <w:tmpl w:val="CB3C5F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ED75DBD"/>
    <w:multiLevelType w:val="hybridMultilevel"/>
    <w:tmpl w:val="F5BAAA16"/>
    <w:lvl w:ilvl="0" w:tplc="BB984BCC">
      <w:start w:val="1"/>
      <w:numFmt w:val="decimal"/>
      <w:lvlText w:val="%1."/>
      <w:lvlJc w:val="left"/>
      <w:pPr>
        <w:ind w:left="720" w:hanging="360"/>
      </w:pPr>
      <w:rPr>
        <w:rFonts w:cs="Times New Roman" w:hint="default"/>
        <w:b/>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1" w15:restartNumberingAfterBreak="0">
    <w:nsid w:val="53674C58"/>
    <w:multiLevelType w:val="hybridMultilevel"/>
    <w:tmpl w:val="0EE6D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23" w15:restartNumberingAfterBreak="0">
    <w:nsid w:val="5B173E6D"/>
    <w:multiLevelType w:val="hybridMultilevel"/>
    <w:tmpl w:val="8B0A8886"/>
    <w:lvl w:ilvl="0" w:tplc="0409000F">
      <w:start w:val="1"/>
      <w:numFmt w:val="decimal"/>
      <w:lvlText w:val="%1."/>
      <w:lvlJc w:val="left"/>
      <w:pPr>
        <w:ind w:left="54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BD077C1"/>
    <w:multiLevelType w:val="hybridMultilevel"/>
    <w:tmpl w:val="30E40AC2"/>
    <w:lvl w:ilvl="0" w:tplc="79D452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40320BE"/>
    <w:multiLevelType w:val="hybridMultilevel"/>
    <w:tmpl w:val="71D8FE8E"/>
    <w:lvl w:ilvl="0" w:tplc="D31A20E0">
      <w:start w:val="1"/>
      <w:numFmt w:val="decimal"/>
      <w:lvlText w:val="%1."/>
      <w:lvlJc w:val="left"/>
      <w:pPr>
        <w:ind w:left="720" w:hanging="360"/>
      </w:pPr>
      <w:rPr>
        <w:rFonts w:ascii="Calibri" w:hAnsi="Calibri" w:cs="Times New Roman" w:hint="default"/>
        <w:b w:val="0"/>
        <w:color w:val="1F497D"/>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15:restartNumberingAfterBreak="0">
    <w:nsid w:val="64974C7D"/>
    <w:multiLevelType w:val="hybridMultilevel"/>
    <w:tmpl w:val="6D12EBB0"/>
    <w:lvl w:ilvl="0" w:tplc="90940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5"/>
  </w:num>
  <w:num w:numId="12">
    <w:abstractNumId w:val="7"/>
  </w:num>
  <w:num w:numId="13">
    <w:abstractNumId w:val="11"/>
  </w:num>
  <w:num w:numId="14">
    <w:abstractNumId w:val="20"/>
  </w:num>
  <w:num w:numId="15">
    <w:abstractNumId w:val="25"/>
  </w:num>
  <w:num w:numId="16">
    <w:abstractNumId w:val="19"/>
  </w:num>
  <w:num w:numId="17">
    <w:abstractNumId w:val="6"/>
  </w:num>
  <w:num w:numId="18">
    <w:abstractNumId w:val="9"/>
    <w:lvlOverride w:ilvl="0"/>
    <w:lvlOverride w:ilvl="1">
      <w:startOverride w:val="1"/>
    </w:lvlOverride>
    <w:lvlOverride w:ilvl="2"/>
    <w:lvlOverride w:ilvl="3"/>
    <w:lvlOverride w:ilvl="4"/>
    <w:lvlOverride w:ilvl="5"/>
    <w:lvlOverride w:ilvl="6"/>
    <w:lvlOverride w:ilvl="7"/>
    <w:lvlOverride w:ilv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num>
  <w:num w:numId="30">
    <w:abstractNumId w:val="24"/>
  </w:num>
  <w:num w:numId="31">
    <w:abstractNumId w:val="1"/>
  </w:num>
  <w:num w:numId="32">
    <w:abstractNumId w:val="16"/>
  </w:num>
  <w:num w:numId="33">
    <w:abstractNumId w:val="1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7DFE"/>
    <w:rsid w:val="00021A9E"/>
    <w:rsid w:val="00031EE9"/>
    <w:rsid w:val="00051BCE"/>
    <w:rsid w:val="000557CB"/>
    <w:rsid w:val="000611D6"/>
    <w:rsid w:val="0007320B"/>
    <w:rsid w:val="00086904"/>
    <w:rsid w:val="0008707F"/>
    <w:rsid w:val="000A2261"/>
    <w:rsid w:val="000A272C"/>
    <w:rsid w:val="000B4B69"/>
    <w:rsid w:val="000B5005"/>
    <w:rsid w:val="000D44F6"/>
    <w:rsid w:val="000F2B0A"/>
    <w:rsid w:val="000F3472"/>
    <w:rsid w:val="000F3A69"/>
    <w:rsid w:val="000F3BE7"/>
    <w:rsid w:val="0010537C"/>
    <w:rsid w:val="00105547"/>
    <w:rsid w:val="0011059A"/>
    <w:rsid w:val="00121915"/>
    <w:rsid w:val="00124142"/>
    <w:rsid w:val="00141471"/>
    <w:rsid w:val="00142C4C"/>
    <w:rsid w:val="00143998"/>
    <w:rsid w:val="00154838"/>
    <w:rsid w:val="0016662E"/>
    <w:rsid w:val="00180449"/>
    <w:rsid w:val="00184863"/>
    <w:rsid w:val="00194DC7"/>
    <w:rsid w:val="001A5964"/>
    <w:rsid w:val="001B037A"/>
    <w:rsid w:val="001B5587"/>
    <w:rsid w:val="001B622D"/>
    <w:rsid w:val="001E7DBF"/>
    <w:rsid w:val="001F1608"/>
    <w:rsid w:val="00203C84"/>
    <w:rsid w:val="00220538"/>
    <w:rsid w:val="00225841"/>
    <w:rsid w:val="0022754D"/>
    <w:rsid w:val="00227778"/>
    <w:rsid w:val="00246D9B"/>
    <w:rsid w:val="00251ABC"/>
    <w:rsid w:val="002717E3"/>
    <w:rsid w:val="002727E7"/>
    <w:rsid w:val="00280706"/>
    <w:rsid w:val="002868A4"/>
    <w:rsid w:val="00294CBB"/>
    <w:rsid w:val="002A3D0C"/>
    <w:rsid w:val="002B01E9"/>
    <w:rsid w:val="002B6F11"/>
    <w:rsid w:val="002D69E9"/>
    <w:rsid w:val="002F0604"/>
    <w:rsid w:val="002F5003"/>
    <w:rsid w:val="003026E5"/>
    <w:rsid w:val="00305169"/>
    <w:rsid w:val="00310AB9"/>
    <w:rsid w:val="0031520D"/>
    <w:rsid w:val="00315F3A"/>
    <w:rsid w:val="003171B2"/>
    <w:rsid w:val="00321CAD"/>
    <w:rsid w:val="00325138"/>
    <w:rsid w:val="00331172"/>
    <w:rsid w:val="003615F3"/>
    <w:rsid w:val="003628C1"/>
    <w:rsid w:val="003740E2"/>
    <w:rsid w:val="003753A3"/>
    <w:rsid w:val="0039241A"/>
    <w:rsid w:val="003B6C98"/>
    <w:rsid w:val="003C63F7"/>
    <w:rsid w:val="003D44C7"/>
    <w:rsid w:val="003D7DFA"/>
    <w:rsid w:val="003E10F9"/>
    <w:rsid w:val="003E1BBC"/>
    <w:rsid w:val="00400CA3"/>
    <w:rsid w:val="00411362"/>
    <w:rsid w:val="00415C40"/>
    <w:rsid w:val="00420D95"/>
    <w:rsid w:val="004310EB"/>
    <w:rsid w:val="00436DD8"/>
    <w:rsid w:val="00444E2D"/>
    <w:rsid w:val="00446668"/>
    <w:rsid w:val="00460978"/>
    <w:rsid w:val="00484086"/>
    <w:rsid w:val="004871F6"/>
    <w:rsid w:val="00497741"/>
    <w:rsid w:val="004A1DE5"/>
    <w:rsid w:val="004B22E7"/>
    <w:rsid w:val="004B38EC"/>
    <w:rsid w:val="004B51C1"/>
    <w:rsid w:val="004C6EDE"/>
    <w:rsid w:val="00501590"/>
    <w:rsid w:val="0052081C"/>
    <w:rsid w:val="00531BBD"/>
    <w:rsid w:val="00531D80"/>
    <w:rsid w:val="005425CE"/>
    <w:rsid w:val="00556182"/>
    <w:rsid w:val="00563E0D"/>
    <w:rsid w:val="00567491"/>
    <w:rsid w:val="005759B1"/>
    <w:rsid w:val="00576A44"/>
    <w:rsid w:val="00582FAF"/>
    <w:rsid w:val="00586387"/>
    <w:rsid w:val="00590D87"/>
    <w:rsid w:val="0059529A"/>
    <w:rsid w:val="00595779"/>
    <w:rsid w:val="005A1518"/>
    <w:rsid w:val="005B4718"/>
    <w:rsid w:val="005F4FE2"/>
    <w:rsid w:val="005F76AA"/>
    <w:rsid w:val="00610642"/>
    <w:rsid w:val="0061489C"/>
    <w:rsid w:val="00620A83"/>
    <w:rsid w:val="006210B8"/>
    <w:rsid w:val="006354C6"/>
    <w:rsid w:val="0064385F"/>
    <w:rsid w:val="00646922"/>
    <w:rsid w:val="00651EE2"/>
    <w:rsid w:val="006602D7"/>
    <w:rsid w:val="00670042"/>
    <w:rsid w:val="00677E00"/>
    <w:rsid w:val="006835A2"/>
    <w:rsid w:val="0069624B"/>
    <w:rsid w:val="006965FB"/>
    <w:rsid w:val="006976D9"/>
    <w:rsid w:val="006B04C8"/>
    <w:rsid w:val="006B0C94"/>
    <w:rsid w:val="006C454E"/>
    <w:rsid w:val="006D0777"/>
    <w:rsid w:val="006D6EEE"/>
    <w:rsid w:val="006F0086"/>
    <w:rsid w:val="006F4528"/>
    <w:rsid w:val="006F73C8"/>
    <w:rsid w:val="007120B6"/>
    <w:rsid w:val="00712797"/>
    <w:rsid w:val="00716695"/>
    <w:rsid w:val="00720BE6"/>
    <w:rsid w:val="00725BBD"/>
    <w:rsid w:val="00743022"/>
    <w:rsid w:val="00754168"/>
    <w:rsid w:val="00766BF4"/>
    <w:rsid w:val="00790158"/>
    <w:rsid w:val="007916DA"/>
    <w:rsid w:val="00794693"/>
    <w:rsid w:val="0079684B"/>
    <w:rsid w:val="007A787D"/>
    <w:rsid w:val="007B60B6"/>
    <w:rsid w:val="007C30A9"/>
    <w:rsid w:val="007C69F1"/>
    <w:rsid w:val="007C6FEC"/>
    <w:rsid w:val="007D201F"/>
    <w:rsid w:val="007D2FB3"/>
    <w:rsid w:val="007E0CC6"/>
    <w:rsid w:val="007E5893"/>
    <w:rsid w:val="00801621"/>
    <w:rsid w:val="00803F94"/>
    <w:rsid w:val="00824C7B"/>
    <w:rsid w:val="008368AC"/>
    <w:rsid w:val="0085735E"/>
    <w:rsid w:val="00865042"/>
    <w:rsid w:val="00870182"/>
    <w:rsid w:val="00876A1A"/>
    <w:rsid w:val="00890E44"/>
    <w:rsid w:val="00897551"/>
    <w:rsid w:val="008A3B6B"/>
    <w:rsid w:val="008C23EF"/>
    <w:rsid w:val="008C28B0"/>
    <w:rsid w:val="008C451F"/>
    <w:rsid w:val="008E2929"/>
    <w:rsid w:val="008E5964"/>
    <w:rsid w:val="008F3843"/>
    <w:rsid w:val="00905A66"/>
    <w:rsid w:val="00906D1E"/>
    <w:rsid w:val="00916125"/>
    <w:rsid w:val="009202B9"/>
    <w:rsid w:val="009242FE"/>
    <w:rsid w:val="00926ABE"/>
    <w:rsid w:val="00947984"/>
    <w:rsid w:val="00956DD6"/>
    <w:rsid w:val="00960D20"/>
    <w:rsid w:val="0098029C"/>
    <w:rsid w:val="00982EE0"/>
    <w:rsid w:val="00994B98"/>
    <w:rsid w:val="00995BA4"/>
    <w:rsid w:val="009A0C46"/>
    <w:rsid w:val="009C0BE1"/>
    <w:rsid w:val="009C103D"/>
    <w:rsid w:val="009E1D8A"/>
    <w:rsid w:val="00A07205"/>
    <w:rsid w:val="00A147F8"/>
    <w:rsid w:val="00A206E2"/>
    <w:rsid w:val="00A22601"/>
    <w:rsid w:val="00A24BFA"/>
    <w:rsid w:val="00A25087"/>
    <w:rsid w:val="00A30DAF"/>
    <w:rsid w:val="00A41E73"/>
    <w:rsid w:val="00A44172"/>
    <w:rsid w:val="00A45007"/>
    <w:rsid w:val="00A501AC"/>
    <w:rsid w:val="00A51A84"/>
    <w:rsid w:val="00A62710"/>
    <w:rsid w:val="00A715D7"/>
    <w:rsid w:val="00A7246D"/>
    <w:rsid w:val="00A740A1"/>
    <w:rsid w:val="00A80502"/>
    <w:rsid w:val="00AA5E26"/>
    <w:rsid w:val="00AA67DD"/>
    <w:rsid w:val="00AA7FE9"/>
    <w:rsid w:val="00AD20EC"/>
    <w:rsid w:val="00AE2515"/>
    <w:rsid w:val="00AF2D4B"/>
    <w:rsid w:val="00AF3D07"/>
    <w:rsid w:val="00AF794E"/>
    <w:rsid w:val="00B130D9"/>
    <w:rsid w:val="00B21149"/>
    <w:rsid w:val="00B3293F"/>
    <w:rsid w:val="00B37BC0"/>
    <w:rsid w:val="00B4266F"/>
    <w:rsid w:val="00B54D20"/>
    <w:rsid w:val="00B67E50"/>
    <w:rsid w:val="00B70DDC"/>
    <w:rsid w:val="00B7254F"/>
    <w:rsid w:val="00B72B1F"/>
    <w:rsid w:val="00B80BC2"/>
    <w:rsid w:val="00B81AD2"/>
    <w:rsid w:val="00B859CB"/>
    <w:rsid w:val="00BA2363"/>
    <w:rsid w:val="00BC44D1"/>
    <w:rsid w:val="00BC5D10"/>
    <w:rsid w:val="00BC7853"/>
    <w:rsid w:val="00BE00E4"/>
    <w:rsid w:val="00BF121C"/>
    <w:rsid w:val="00BF7688"/>
    <w:rsid w:val="00C0154D"/>
    <w:rsid w:val="00C0600F"/>
    <w:rsid w:val="00C12A33"/>
    <w:rsid w:val="00C32A99"/>
    <w:rsid w:val="00C431AB"/>
    <w:rsid w:val="00C44EAC"/>
    <w:rsid w:val="00C45136"/>
    <w:rsid w:val="00C575F6"/>
    <w:rsid w:val="00C6105F"/>
    <w:rsid w:val="00C83403"/>
    <w:rsid w:val="00C97A14"/>
    <w:rsid w:val="00CA12F3"/>
    <w:rsid w:val="00CB0985"/>
    <w:rsid w:val="00CB53AC"/>
    <w:rsid w:val="00CB6B8E"/>
    <w:rsid w:val="00CB7673"/>
    <w:rsid w:val="00CC5FDC"/>
    <w:rsid w:val="00CD2F01"/>
    <w:rsid w:val="00CE5DD3"/>
    <w:rsid w:val="00CF1B86"/>
    <w:rsid w:val="00D003CA"/>
    <w:rsid w:val="00D1462A"/>
    <w:rsid w:val="00D230B4"/>
    <w:rsid w:val="00D23B29"/>
    <w:rsid w:val="00D462CD"/>
    <w:rsid w:val="00D61AAA"/>
    <w:rsid w:val="00D64227"/>
    <w:rsid w:val="00D64BDF"/>
    <w:rsid w:val="00D9611D"/>
    <w:rsid w:val="00D96803"/>
    <w:rsid w:val="00DA5C6B"/>
    <w:rsid w:val="00DB143D"/>
    <w:rsid w:val="00DB4EF8"/>
    <w:rsid w:val="00DD2976"/>
    <w:rsid w:val="00DD5418"/>
    <w:rsid w:val="00E03E62"/>
    <w:rsid w:val="00E202B1"/>
    <w:rsid w:val="00E2461F"/>
    <w:rsid w:val="00E2479C"/>
    <w:rsid w:val="00E262FB"/>
    <w:rsid w:val="00E26402"/>
    <w:rsid w:val="00E30DA8"/>
    <w:rsid w:val="00E316C8"/>
    <w:rsid w:val="00E33F4B"/>
    <w:rsid w:val="00E50370"/>
    <w:rsid w:val="00E51B7E"/>
    <w:rsid w:val="00E61C30"/>
    <w:rsid w:val="00E67564"/>
    <w:rsid w:val="00E81E42"/>
    <w:rsid w:val="00E86568"/>
    <w:rsid w:val="00E90805"/>
    <w:rsid w:val="00E97BC6"/>
    <w:rsid w:val="00EA02A1"/>
    <w:rsid w:val="00EA0846"/>
    <w:rsid w:val="00EB2DF0"/>
    <w:rsid w:val="00EC4652"/>
    <w:rsid w:val="00ED1A65"/>
    <w:rsid w:val="00ED3999"/>
    <w:rsid w:val="00EE083E"/>
    <w:rsid w:val="00EE24B1"/>
    <w:rsid w:val="00EE25CA"/>
    <w:rsid w:val="00EF6EB7"/>
    <w:rsid w:val="00F03E2B"/>
    <w:rsid w:val="00F16DB7"/>
    <w:rsid w:val="00F20644"/>
    <w:rsid w:val="00F2190B"/>
    <w:rsid w:val="00F27B05"/>
    <w:rsid w:val="00F311C4"/>
    <w:rsid w:val="00F33BCA"/>
    <w:rsid w:val="00F35FD0"/>
    <w:rsid w:val="00F42140"/>
    <w:rsid w:val="00F422A7"/>
    <w:rsid w:val="00F51C0D"/>
    <w:rsid w:val="00F61E77"/>
    <w:rsid w:val="00F65F3C"/>
    <w:rsid w:val="00F66E0B"/>
    <w:rsid w:val="00F725F7"/>
    <w:rsid w:val="00F731CE"/>
    <w:rsid w:val="00F73914"/>
    <w:rsid w:val="00FA0441"/>
    <w:rsid w:val="00FB4CFA"/>
    <w:rsid w:val="00FB5DFB"/>
    <w:rsid w:val="00FC13CD"/>
    <w:rsid w:val="00FC3A07"/>
    <w:rsid w:val="00FC6595"/>
    <w:rsid w:val="00FD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4B0B1"/>
  <w15:docId w15:val="{6A2F8C69-5B25-4CA5-9C5C-6AE59774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16"/>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hr-HR"/>
    </w:rPr>
  </w:style>
  <w:style w:type="paragraph" w:styleId="ListParagraph">
    <w:name w:val="List Paragraph"/>
    <w:basedOn w:val="Normal"/>
    <w:uiPriority w:val="34"/>
    <w:qFormat/>
    <w:rsid w:val="00AF2D4B"/>
    <w:pPr>
      <w:ind w:left="720"/>
      <w:contextualSpacing/>
    </w:pPr>
  </w:style>
  <w:style w:type="character" w:styleId="CommentReference">
    <w:name w:val="annotation reference"/>
    <w:basedOn w:val="DefaultParagraphFont"/>
    <w:uiPriority w:val="99"/>
    <w:semiHidden/>
    <w:unhideWhenUsed/>
    <w:rsid w:val="0061489C"/>
    <w:rPr>
      <w:sz w:val="16"/>
      <w:szCs w:val="16"/>
    </w:rPr>
  </w:style>
  <w:style w:type="paragraph" w:styleId="CommentText">
    <w:name w:val="annotation text"/>
    <w:basedOn w:val="Normal"/>
    <w:link w:val="CommentTextChar"/>
    <w:uiPriority w:val="99"/>
    <w:semiHidden/>
    <w:unhideWhenUsed/>
    <w:rsid w:val="0061489C"/>
    <w:rPr>
      <w:sz w:val="20"/>
      <w:szCs w:val="20"/>
    </w:rPr>
  </w:style>
  <w:style w:type="character" w:customStyle="1" w:styleId="CommentTextChar">
    <w:name w:val="Comment Text Char"/>
    <w:basedOn w:val="DefaultParagraphFont"/>
    <w:link w:val="CommentText"/>
    <w:uiPriority w:val="99"/>
    <w:semiHidden/>
    <w:rsid w:val="0061489C"/>
    <w:rPr>
      <w:rFonts w:ascii="Times New Roman" w:eastAsia="Times New Roman" w:hAnsi="Times New Roman"/>
      <w:lang w:val="hr-HR" w:eastAsia="en-US"/>
    </w:rPr>
  </w:style>
  <w:style w:type="paragraph" w:styleId="CommentSubject">
    <w:name w:val="annotation subject"/>
    <w:basedOn w:val="CommentText"/>
    <w:next w:val="CommentText"/>
    <w:link w:val="CommentSubjectChar"/>
    <w:uiPriority w:val="99"/>
    <w:semiHidden/>
    <w:unhideWhenUsed/>
    <w:rsid w:val="0061489C"/>
    <w:rPr>
      <w:b/>
      <w:bCs/>
    </w:rPr>
  </w:style>
  <w:style w:type="character" w:customStyle="1" w:styleId="CommentSubjectChar">
    <w:name w:val="Comment Subject Char"/>
    <w:basedOn w:val="CommentTextChar"/>
    <w:link w:val="CommentSubject"/>
    <w:uiPriority w:val="99"/>
    <w:semiHidden/>
    <w:rsid w:val="0061489C"/>
    <w:rPr>
      <w:rFonts w:ascii="Times New Roman" w:eastAsia="Times New Roman" w:hAnsi="Times New Roman"/>
      <w:b/>
      <w:bCs/>
      <w:lang w:val="hr-HR" w:eastAsia="en-US"/>
    </w:rPr>
  </w:style>
  <w:style w:type="paragraph" w:styleId="NormalWeb">
    <w:name w:val="Normal (Web)"/>
    <w:basedOn w:val="Normal"/>
    <w:uiPriority w:val="99"/>
    <w:semiHidden/>
    <w:unhideWhenUsed/>
    <w:rsid w:val="00E50370"/>
    <w:pPr>
      <w:spacing w:before="100" w:beforeAutospacing="1" w:after="100" w:afterAutospacing="1"/>
    </w:pPr>
    <w:rPr>
      <w:lang w:eastAsia="en-GB"/>
    </w:rPr>
  </w:style>
  <w:style w:type="table" w:styleId="TableGrid">
    <w:name w:val="Table Grid"/>
    <w:basedOn w:val="TableNormal"/>
    <w:uiPriority w:val="39"/>
    <w:locked/>
    <w:rsid w:val="00E503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0409">
      <w:bodyDiv w:val="1"/>
      <w:marLeft w:val="0"/>
      <w:marRight w:val="0"/>
      <w:marTop w:val="0"/>
      <w:marBottom w:val="0"/>
      <w:divBdr>
        <w:top w:val="none" w:sz="0" w:space="0" w:color="auto"/>
        <w:left w:val="none" w:sz="0" w:space="0" w:color="auto"/>
        <w:bottom w:val="none" w:sz="0" w:space="0" w:color="auto"/>
        <w:right w:val="none" w:sz="0" w:space="0" w:color="auto"/>
      </w:divBdr>
    </w:div>
    <w:div w:id="358164159">
      <w:bodyDiv w:val="1"/>
      <w:marLeft w:val="0"/>
      <w:marRight w:val="0"/>
      <w:marTop w:val="0"/>
      <w:marBottom w:val="0"/>
      <w:divBdr>
        <w:top w:val="none" w:sz="0" w:space="0" w:color="auto"/>
        <w:left w:val="none" w:sz="0" w:space="0" w:color="auto"/>
        <w:bottom w:val="none" w:sz="0" w:space="0" w:color="auto"/>
        <w:right w:val="none" w:sz="0" w:space="0" w:color="auto"/>
      </w:divBdr>
    </w:div>
    <w:div w:id="430275456">
      <w:bodyDiv w:val="1"/>
      <w:marLeft w:val="0"/>
      <w:marRight w:val="0"/>
      <w:marTop w:val="0"/>
      <w:marBottom w:val="0"/>
      <w:divBdr>
        <w:top w:val="none" w:sz="0" w:space="0" w:color="auto"/>
        <w:left w:val="none" w:sz="0" w:space="0" w:color="auto"/>
        <w:bottom w:val="none" w:sz="0" w:space="0" w:color="auto"/>
        <w:right w:val="none" w:sz="0" w:space="0" w:color="auto"/>
      </w:divBdr>
    </w:div>
    <w:div w:id="437604746">
      <w:bodyDiv w:val="1"/>
      <w:marLeft w:val="0"/>
      <w:marRight w:val="0"/>
      <w:marTop w:val="0"/>
      <w:marBottom w:val="0"/>
      <w:divBdr>
        <w:top w:val="none" w:sz="0" w:space="0" w:color="auto"/>
        <w:left w:val="none" w:sz="0" w:space="0" w:color="auto"/>
        <w:bottom w:val="none" w:sz="0" w:space="0" w:color="auto"/>
        <w:right w:val="none" w:sz="0" w:space="0" w:color="auto"/>
      </w:divBdr>
    </w:div>
    <w:div w:id="492531468">
      <w:bodyDiv w:val="1"/>
      <w:marLeft w:val="0"/>
      <w:marRight w:val="0"/>
      <w:marTop w:val="0"/>
      <w:marBottom w:val="0"/>
      <w:divBdr>
        <w:top w:val="none" w:sz="0" w:space="0" w:color="auto"/>
        <w:left w:val="none" w:sz="0" w:space="0" w:color="auto"/>
        <w:bottom w:val="none" w:sz="0" w:space="0" w:color="auto"/>
        <w:right w:val="none" w:sz="0" w:space="0" w:color="auto"/>
      </w:divBdr>
    </w:div>
    <w:div w:id="653215712">
      <w:bodyDiv w:val="1"/>
      <w:marLeft w:val="0"/>
      <w:marRight w:val="0"/>
      <w:marTop w:val="0"/>
      <w:marBottom w:val="0"/>
      <w:divBdr>
        <w:top w:val="none" w:sz="0" w:space="0" w:color="auto"/>
        <w:left w:val="none" w:sz="0" w:space="0" w:color="auto"/>
        <w:bottom w:val="none" w:sz="0" w:space="0" w:color="auto"/>
        <w:right w:val="none" w:sz="0" w:space="0" w:color="auto"/>
      </w:divBdr>
    </w:div>
    <w:div w:id="773331958">
      <w:bodyDiv w:val="1"/>
      <w:marLeft w:val="0"/>
      <w:marRight w:val="0"/>
      <w:marTop w:val="0"/>
      <w:marBottom w:val="0"/>
      <w:divBdr>
        <w:top w:val="none" w:sz="0" w:space="0" w:color="auto"/>
        <w:left w:val="none" w:sz="0" w:space="0" w:color="auto"/>
        <w:bottom w:val="none" w:sz="0" w:space="0" w:color="auto"/>
        <w:right w:val="none" w:sz="0" w:space="0" w:color="auto"/>
      </w:divBdr>
    </w:div>
    <w:div w:id="780300326">
      <w:bodyDiv w:val="1"/>
      <w:marLeft w:val="0"/>
      <w:marRight w:val="0"/>
      <w:marTop w:val="0"/>
      <w:marBottom w:val="0"/>
      <w:divBdr>
        <w:top w:val="none" w:sz="0" w:space="0" w:color="auto"/>
        <w:left w:val="none" w:sz="0" w:space="0" w:color="auto"/>
        <w:bottom w:val="none" w:sz="0" w:space="0" w:color="auto"/>
        <w:right w:val="none" w:sz="0" w:space="0" w:color="auto"/>
      </w:divBdr>
    </w:div>
    <w:div w:id="798451408">
      <w:bodyDiv w:val="1"/>
      <w:marLeft w:val="0"/>
      <w:marRight w:val="0"/>
      <w:marTop w:val="0"/>
      <w:marBottom w:val="0"/>
      <w:divBdr>
        <w:top w:val="none" w:sz="0" w:space="0" w:color="auto"/>
        <w:left w:val="none" w:sz="0" w:space="0" w:color="auto"/>
        <w:bottom w:val="none" w:sz="0" w:space="0" w:color="auto"/>
        <w:right w:val="none" w:sz="0" w:space="0" w:color="auto"/>
      </w:divBdr>
    </w:div>
    <w:div w:id="1071386319">
      <w:bodyDiv w:val="1"/>
      <w:marLeft w:val="0"/>
      <w:marRight w:val="0"/>
      <w:marTop w:val="0"/>
      <w:marBottom w:val="0"/>
      <w:divBdr>
        <w:top w:val="none" w:sz="0" w:space="0" w:color="auto"/>
        <w:left w:val="none" w:sz="0" w:space="0" w:color="auto"/>
        <w:bottom w:val="none" w:sz="0" w:space="0" w:color="auto"/>
        <w:right w:val="none" w:sz="0" w:space="0" w:color="auto"/>
      </w:divBdr>
    </w:div>
    <w:div w:id="1078553198">
      <w:marLeft w:val="0"/>
      <w:marRight w:val="0"/>
      <w:marTop w:val="0"/>
      <w:marBottom w:val="0"/>
      <w:divBdr>
        <w:top w:val="none" w:sz="0" w:space="0" w:color="auto"/>
        <w:left w:val="none" w:sz="0" w:space="0" w:color="auto"/>
        <w:bottom w:val="none" w:sz="0" w:space="0" w:color="auto"/>
        <w:right w:val="none" w:sz="0" w:space="0" w:color="auto"/>
      </w:divBdr>
    </w:div>
    <w:div w:id="1333946190">
      <w:bodyDiv w:val="1"/>
      <w:marLeft w:val="0"/>
      <w:marRight w:val="0"/>
      <w:marTop w:val="0"/>
      <w:marBottom w:val="0"/>
      <w:divBdr>
        <w:top w:val="none" w:sz="0" w:space="0" w:color="auto"/>
        <w:left w:val="none" w:sz="0" w:space="0" w:color="auto"/>
        <w:bottom w:val="none" w:sz="0" w:space="0" w:color="auto"/>
        <w:right w:val="none" w:sz="0" w:space="0" w:color="auto"/>
      </w:divBdr>
    </w:div>
    <w:div w:id="1355573158">
      <w:bodyDiv w:val="1"/>
      <w:marLeft w:val="0"/>
      <w:marRight w:val="0"/>
      <w:marTop w:val="0"/>
      <w:marBottom w:val="0"/>
      <w:divBdr>
        <w:top w:val="none" w:sz="0" w:space="0" w:color="auto"/>
        <w:left w:val="none" w:sz="0" w:space="0" w:color="auto"/>
        <w:bottom w:val="none" w:sz="0" w:space="0" w:color="auto"/>
        <w:right w:val="none" w:sz="0" w:space="0" w:color="auto"/>
      </w:divBdr>
    </w:div>
    <w:div w:id="1394766745">
      <w:bodyDiv w:val="1"/>
      <w:marLeft w:val="0"/>
      <w:marRight w:val="0"/>
      <w:marTop w:val="0"/>
      <w:marBottom w:val="0"/>
      <w:divBdr>
        <w:top w:val="none" w:sz="0" w:space="0" w:color="auto"/>
        <w:left w:val="none" w:sz="0" w:space="0" w:color="auto"/>
        <w:bottom w:val="none" w:sz="0" w:space="0" w:color="auto"/>
        <w:right w:val="none" w:sz="0" w:space="0" w:color="auto"/>
      </w:divBdr>
    </w:div>
    <w:div w:id="1494177485">
      <w:bodyDiv w:val="1"/>
      <w:marLeft w:val="0"/>
      <w:marRight w:val="0"/>
      <w:marTop w:val="0"/>
      <w:marBottom w:val="0"/>
      <w:divBdr>
        <w:top w:val="none" w:sz="0" w:space="0" w:color="auto"/>
        <w:left w:val="none" w:sz="0" w:space="0" w:color="auto"/>
        <w:bottom w:val="none" w:sz="0" w:space="0" w:color="auto"/>
        <w:right w:val="none" w:sz="0" w:space="0" w:color="auto"/>
      </w:divBdr>
    </w:div>
    <w:div w:id="1512908630">
      <w:bodyDiv w:val="1"/>
      <w:marLeft w:val="0"/>
      <w:marRight w:val="0"/>
      <w:marTop w:val="0"/>
      <w:marBottom w:val="0"/>
      <w:divBdr>
        <w:top w:val="none" w:sz="0" w:space="0" w:color="auto"/>
        <w:left w:val="none" w:sz="0" w:space="0" w:color="auto"/>
        <w:bottom w:val="none" w:sz="0" w:space="0" w:color="auto"/>
        <w:right w:val="none" w:sz="0" w:space="0" w:color="auto"/>
      </w:divBdr>
    </w:div>
    <w:div w:id="1520042446">
      <w:bodyDiv w:val="1"/>
      <w:marLeft w:val="0"/>
      <w:marRight w:val="0"/>
      <w:marTop w:val="0"/>
      <w:marBottom w:val="0"/>
      <w:divBdr>
        <w:top w:val="none" w:sz="0" w:space="0" w:color="auto"/>
        <w:left w:val="none" w:sz="0" w:space="0" w:color="auto"/>
        <w:bottom w:val="none" w:sz="0" w:space="0" w:color="auto"/>
        <w:right w:val="none" w:sz="0" w:space="0" w:color="auto"/>
      </w:divBdr>
    </w:div>
    <w:div w:id="1590194053">
      <w:bodyDiv w:val="1"/>
      <w:marLeft w:val="0"/>
      <w:marRight w:val="0"/>
      <w:marTop w:val="0"/>
      <w:marBottom w:val="0"/>
      <w:divBdr>
        <w:top w:val="none" w:sz="0" w:space="0" w:color="auto"/>
        <w:left w:val="none" w:sz="0" w:space="0" w:color="auto"/>
        <w:bottom w:val="none" w:sz="0" w:space="0" w:color="auto"/>
        <w:right w:val="none" w:sz="0" w:space="0" w:color="auto"/>
      </w:divBdr>
    </w:div>
    <w:div w:id="1659765795">
      <w:bodyDiv w:val="1"/>
      <w:marLeft w:val="0"/>
      <w:marRight w:val="0"/>
      <w:marTop w:val="0"/>
      <w:marBottom w:val="0"/>
      <w:divBdr>
        <w:top w:val="none" w:sz="0" w:space="0" w:color="auto"/>
        <w:left w:val="none" w:sz="0" w:space="0" w:color="auto"/>
        <w:bottom w:val="none" w:sz="0" w:space="0" w:color="auto"/>
        <w:right w:val="none" w:sz="0" w:space="0" w:color="auto"/>
      </w:divBdr>
    </w:div>
    <w:div w:id="1772430891">
      <w:bodyDiv w:val="1"/>
      <w:marLeft w:val="0"/>
      <w:marRight w:val="0"/>
      <w:marTop w:val="0"/>
      <w:marBottom w:val="0"/>
      <w:divBdr>
        <w:top w:val="none" w:sz="0" w:space="0" w:color="auto"/>
        <w:left w:val="none" w:sz="0" w:space="0" w:color="auto"/>
        <w:bottom w:val="none" w:sz="0" w:space="0" w:color="auto"/>
        <w:right w:val="none" w:sz="0" w:space="0" w:color="auto"/>
      </w:divBdr>
    </w:div>
    <w:div w:id="1824200527">
      <w:bodyDiv w:val="1"/>
      <w:marLeft w:val="0"/>
      <w:marRight w:val="0"/>
      <w:marTop w:val="0"/>
      <w:marBottom w:val="0"/>
      <w:divBdr>
        <w:top w:val="none" w:sz="0" w:space="0" w:color="auto"/>
        <w:left w:val="none" w:sz="0" w:space="0" w:color="auto"/>
        <w:bottom w:val="none" w:sz="0" w:space="0" w:color="auto"/>
        <w:right w:val="none" w:sz="0" w:space="0" w:color="auto"/>
      </w:divBdr>
    </w:div>
    <w:div w:id="1934778671">
      <w:bodyDiv w:val="1"/>
      <w:marLeft w:val="0"/>
      <w:marRight w:val="0"/>
      <w:marTop w:val="0"/>
      <w:marBottom w:val="0"/>
      <w:divBdr>
        <w:top w:val="none" w:sz="0" w:space="0" w:color="auto"/>
        <w:left w:val="none" w:sz="0" w:space="0" w:color="auto"/>
        <w:bottom w:val="none" w:sz="0" w:space="0" w:color="auto"/>
        <w:right w:val="none" w:sz="0" w:space="0" w:color="auto"/>
      </w:divBdr>
    </w:div>
    <w:div w:id="1946225387">
      <w:bodyDiv w:val="1"/>
      <w:marLeft w:val="0"/>
      <w:marRight w:val="0"/>
      <w:marTop w:val="0"/>
      <w:marBottom w:val="0"/>
      <w:divBdr>
        <w:top w:val="none" w:sz="0" w:space="0" w:color="auto"/>
        <w:left w:val="none" w:sz="0" w:space="0" w:color="auto"/>
        <w:bottom w:val="none" w:sz="0" w:space="0" w:color="auto"/>
        <w:right w:val="none" w:sz="0" w:space="0" w:color="auto"/>
      </w:divBdr>
    </w:div>
    <w:div w:id="20839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mailto:ounz@vojvodin&#1072;.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6EBC-19AB-40C7-81A2-C7F55E1C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Bjelobaba</dc:creator>
  <cp:lastModifiedBy>Maja Popovic</cp:lastModifiedBy>
  <cp:revision>8</cp:revision>
  <cp:lastPrinted>2022-09-09T09:00:00Z</cp:lastPrinted>
  <dcterms:created xsi:type="dcterms:W3CDTF">2025-10-23T12:01:00Z</dcterms:created>
  <dcterms:modified xsi:type="dcterms:W3CDTF">2025-10-24T11:42:00Z</dcterms:modified>
</cp:coreProperties>
</file>