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hAnsi="Calibri"/>
                <w:noProof/>
                <w:sz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hAnsi="Calibri"/>
                <w:sz w:val="20"/>
              </w:rPr>
              <w:t>Szerb Köztársaság</w:t>
            </w:r>
          </w:p>
          <w:p w:rsidR="00664892" w:rsidRDefault="00CA2FD3">
            <w:pPr>
              <w:rPr>
                <w:rFonts w:ascii="Calibri" w:eastAsia="Calibri" w:hAnsi="Calibri" w:cs="Calibri"/>
                <w:sz w:val="20"/>
                <w:szCs w:val="20"/>
              </w:rPr>
            </w:pPr>
            <w:r>
              <w:rPr>
                <w:rFonts w:ascii="Calibri" w:hAnsi="Calibri"/>
                <w:sz w:val="20"/>
              </w:rPr>
              <w:t>Vajdaság Autonóm Tartomány</w:t>
            </w:r>
          </w:p>
          <w:p w:rsidR="00664892" w:rsidRDefault="00CA2FD3">
            <w:pPr>
              <w:rPr>
                <w:rFonts w:ascii="Calibri" w:eastAsia="Calibri" w:hAnsi="Calibri" w:cs="Calibri"/>
                <w:b/>
                <w:sz w:val="20"/>
                <w:szCs w:val="20"/>
              </w:rPr>
            </w:pPr>
            <w:r>
              <w:rPr>
                <w:rFonts w:ascii="Calibri" w:hAnsi="Calibri"/>
                <w:b/>
                <w:sz w:val="20"/>
              </w:rPr>
              <w:t>Tartományi Oktatási</w:t>
            </w:r>
            <w:r w:rsidR="005C05C3">
              <w:rPr>
                <w:rFonts w:ascii="Calibri" w:hAnsi="Calibri"/>
                <w:b/>
                <w:sz w:val="20"/>
              </w:rPr>
              <w:t>, Jogalkotási, Közigazgatási és</w:t>
            </w:r>
            <w:r>
              <w:rPr>
                <w:rFonts w:ascii="Calibri" w:hAnsi="Calibri"/>
                <w:b/>
                <w:sz w:val="20"/>
              </w:rPr>
              <w:br/>
              <w:t>Nemzeti Kisebbségi – Nemzeti Közösségi Titkárság</w:t>
            </w:r>
          </w:p>
          <w:p w:rsidR="00664892" w:rsidRPr="00CA2FD3" w:rsidRDefault="00CA2FD3">
            <w:pPr>
              <w:tabs>
                <w:tab w:val="center" w:pos="4703"/>
                <w:tab w:val="right" w:pos="9406"/>
              </w:tabs>
              <w:rPr>
                <w:rFonts w:ascii="Calibri" w:eastAsia="Calibri" w:hAnsi="Calibri" w:cs="Calibri"/>
                <w:sz w:val="18"/>
                <w:szCs w:val="20"/>
              </w:rPr>
            </w:pPr>
            <w:proofErr w:type="spellStart"/>
            <w:r>
              <w:rPr>
                <w:rFonts w:ascii="Calibri" w:hAnsi="Calibri"/>
                <w:sz w:val="18"/>
              </w:rPr>
              <w:t>Mihajlo</w:t>
            </w:r>
            <w:proofErr w:type="spellEnd"/>
            <w:r>
              <w:rPr>
                <w:rFonts w:ascii="Calibri" w:hAnsi="Calibri"/>
                <w:sz w:val="18"/>
              </w:rPr>
              <w:t xml:space="preserve"> </w:t>
            </w:r>
            <w:proofErr w:type="spellStart"/>
            <w:r>
              <w:rPr>
                <w:rFonts w:ascii="Calibri" w:hAnsi="Calibri"/>
                <w:sz w:val="18"/>
              </w:rPr>
              <w:t>Pupin</w:t>
            </w:r>
            <w:proofErr w:type="spellEnd"/>
            <w:r>
              <w:rPr>
                <w:rFonts w:ascii="Calibri" w:hAnsi="Calibri"/>
                <w:sz w:val="18"/>
              </w:rPr>
              <w:t xml:space="preserve"> sugárút 16</w:t>
            </w:r>
            <w:proofErr w:type="gramStart"/>
            <w:r>
              <w:rPr>
                <w:rFonts w:ascii="Calibri" w:hAnsi="Calibri"/>
                <w:sz w:val="18"/>
              </w:rPr>
              <w:t>.,</w:t>
            </w:r>
            <w:proofErr w:type="gramEnd"/>
            <w:r>
              <w:rPr>
                <w:rFonts w:ascii="Calibri" w:hAnsi="Calibri"/>
                <w:sz w:val="18"/>
              </w:rPr>
              <w:t xml:space="preserve"> 21000 Újvidék</w:t>
            </w:r>
          </w:p>
          <w:p w:rsidR="00664892" w:rsidRPr="00CA2FD3" w:rsidRDefault="00CA2FD3" w:rsidP="004004E9">
            <w:pPr>
              <w:rPr>
                <w:rFonts w:ascii="Calibri" w:eastAsia="Calibri" w:hAnsi="Calibri" w:cs="Calibri"/>
                <w:sz w:val="18"/>
                <w:szCs w:val="20"/>
              </w:rPr>
            </w:pPr>
            <w:r>
              <w:rPr>
                <w:rFonts w:ascii="Calibri" w:hAnsi="Calibri"/>
                <w:sz w:val="18"/>
              </w:rPr>
              <w:t>Telefon: +381 21 487 4452</w:t>
            </w:r>
          </w:p>
          <w:p w:rsidR="00664892" w:rsidRDefault="00CA2FD3">
            <w:pPr>
              <w:spacing w:after="200"/>
              <w:rPr>
                <w:rFonts w:ascii="Calibri" w:eastAsia="Calibri" w:hAnsi="Calibri" w:cs="Calibri"/>
                <w:sz w:val="20"/>
                <w:szCs w:val="20"/>
              </w:rPr>
            </w:pPr>
            <w:r>
              <w:rPr>
                <w:rFonts w:ascii="Calibri" w:hAnsi="Calibri"/>
                <w:sz w:val="18"/>
              </w:rPr>
              <w:t>ounz@vojvodinа</w:t>
            </w:r>
            <w:proofErr w:type="gramStart"/>
            <w:r>
              <w:rPr>
                <w:rFonts w:ascii="Calibri" w:hAnsi="Calibri"/>
                <w:sz w:val="18"/>
              </w:rPr>
              <w:t>.gov.rs</w:t>
            </w:r>
            <w:proofErr w:type="gramEnd"/>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FE656B">
            <w:pPr>
              <w:tabs>
                <w:tab w:val="center" w:pos="4703"/>
                <w:tab w:val="right" w:pos="9406"/>
              </w:tabs>
              <w:rPr>
                <w:rFonts w:ascii="Calibri" w:eastAsia="Calibri" w:hAnsi="Calibri" w:cs="Calibri"/>
                <w:sz w:val="18"/>
                <w:szCs w:val="18"/>
              </w:rPr>
            </w:pPr>
            <w:r>
              <w:rPr>
                <w:rFonts w:ascii="Calibri" w:hAnsi="Calibri"/>
                <w:sz w:val="18"/>
              </w:rPr>
              <w:t>SZÁM: 00428588 2025 09427.</w:t>
            </w:r>
          </w:p>
        </w:tc>
        <w:tc>
          <w:tcPr>
            <w:tcW w:w="2381" w:type="dxa"/>
          </w:tcPr>
          <w:p w:rsidR="00664892" w:rsidRPr="00621288" w:rsidRDefault="00CA2FD3" w:rsidP="00703587">
            <w:pPr>
              <w:tabs>
                <w:tab w:val="center" w:pos="4703"/>
                <w:tab w:val="right" w:pos="9406"/>
              </w:tabs>
              <w:rPr>
                <w:rFonts w:ascii="Calibri" w:eastAsia="Calibri" w:hAnsi="Calibri" w:cs="Calibri"/>
                <w:sz w:val="18"/>
                <w:szCs w:val="18"/>
              </w:rPr>
            </w:pPr>
            <w:r>
              <w:rPr>
                <w:rFonts w:ascii="Calibri" w:hAnsi="Calibri"/>
                <w:sz w:val="18"/>
              </w:rPr>
              <w:t>KELT: 2025. február 12.</w:t>
            </w:r>
          </w:p>
        </w:tc>
      </w:tr>
    </w:tbl>
    <w:p w:rsidR="00664892" w:rsidRDefault="00664892">
      <w:pPr>
        <w:rPr>
          <w:rFonts w:ascii="Calibri" w:eastAsia="Calibri" w:hAnsi="Calibri" w:cs="Calibri"/>
          <w:sz w:val="22"/>
          <w:szCs w:val="22"/>
        </w:rPr>
      </w:pPr>
    </w:p>
    <w:p w:rsidR="000C4ECD" w:rsidRPr="00FE656B" w:rsidRDefault="000C4ECD" w:rsidP="0055552E">
      <w:pPr>
        <w:jc w:val="both"/>
        <w:rPr>
          <w:rFonts w:asciiTheme="majorHAnsi" w:hAnsiTheme="majorHAnsi" w:cstheme="majorHAnsi"/>
          <w:sz w:val="20"/>
        </w:rPr>
      </w:pPr>
      <w:proofErr w:type="gramStart"/>
      <w:r>
        <w:rPr>
          <w:sz w:val="20"/>
        </w:rPr>
        <w:t>A Vajdaság autonóm tartományi alap- és középfokú oktatást és nevelést, valamint a diákjólét területét érintő programtevékenységek és projektek finanszírozására és társfinanszírozására irányuló költségvetési eszközök odaítéléséről szóló tartományi képviselő</w:t>
      </w:r>
      <w:r w:rsidR="005B6B3D">
        <w:rPr>
          <w:sz w:val="20"/>
        </w:rPr>
        <w:t xml:space="preserve">házi rendelet </w:t>
      </w:r>
      <w:r>
        <w:rPr>
          <w:sz w:val="20"/>
        </w:rPr>
        <w:t>(VAT Hivatalos Lapja, 14/2015. és 10/2017. szám) 5. szakasza, valamint a tartományi közigazgatásról szóló tartományi képviselőházi rendelet (VAT Hivatalos Lapja, 37/2014., 54/2014. szám - más határozat, 37/2016., 29/2017., 24/2019., 66/2020. és 38//2021. szám ) 24. s</w:t>
      </w:r>
      <w:r w:rsidR="005B6B3D">
        <w:rPr>
          <w:sz w:val="20"/>
        </w:rPr>
        <w:t xml:space="preserve">zakasza 2. bekezdése, valamint </w:t>
      </w:r>
      <w:r>
        <w:rPr>
          <w:sz w:val="20"/>
        </w:rPr>
        <w:t>a Tartományi Oktatási, Jogalkotási,</w:t>
      </w:r>
      <w:proofErr w:type="gramEnd"/>
      <w:r>
        <w:rPr>
          <w:sz w:val="20"/>
        </w:rPr>
        <w:t xml:space="preserve"> Közigazgatási és Nemzeti Kisebbségi - Nemzeti Közösségi Titkárság költségvetési eszközeinek a Vajdaság Autonóm Tarto</w:t>
      </w:r>
      <w:r w:rsidR="005B6B3D">
        <w:rPr>
          <w:sz w:val="20"/>
        </w:rPr>
        <w:t xml:space="preserve">mány területén működő általános iskolák </w:t>
      </w:r>
      <w:r>
        <w:rPr>
          <w:sz w:val="20"/>
        </w:rPr>
        <w:t xml:space="preserve">és középiskolák diákjainak biztonságát népszerűsítő és előmozdító – programok és projektek 2025. évi finanszírozására és társfinanszírozására való odaítéléséről szóló szabályzat (VAT </w:t>
      </w:r>
      <w:r w:rsidR="005B6B3D">
        <w:rPr>
          <w:sz w:val="20"/>
        </w:rPr>
        <w:t xml:space="preserve">Hivatalos Lapja, 8/2025. szám) </w:t>
      </w:r>
      <w:r>
        <w:rPr>
          <w:sz w:val="20"/>
        </w:rPr>
        <w:t xml:space="preserve">2. szakasza alapján, a tartományi oktatási, jogalkotási, közigazgatási és nemzeti kisebbségi – nemzeti közösségi titkár </w:t>
      </w:r>
      <w:r>
        <w:rPr>
          <w:rFonts w:asciiTheme="majorHAnsi" w:hAnsiTheme="majorHAnsi"/>
          <w:sz w:val="20"/>
        </w:rPr>
        <w:t xml:space="preserve">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rPr>
        <w:t>PÁLYÁZATOT</w:t>
      </w:r>
      <w:r>
        <w:rPr>
          <w:rFonts w:ascii="Calibri" w:hAnsi="Calibri"/>
          <w:b/>
          <w:color w:val="000000"/>
          <w:sz w:val="20"/>
        </w:rPr>
        <w:br/>
        <w:t xml:space="preserve">hirdet  </w:t>
      </w:r>
    </w:p>
    <w:p w:rsidR="00FE656B" w:rsidRPr="00FE656B" w:rsidRDefault="00286E3D" w:rsidP="00FE656B">
      <w:pPr>
        <w:ind w:right="-18"/>
        <w:jc w:val="center"/>
        <w:outlineLvl w:val="0"/>
        <w:rPr>
          <w:rFonts w:ascii="Calibri" w:eastAsia="Calibri" w:hAnsi="Calibri" w:cs="Calibri"/>
          <w:b/>
          <w:color w:val="000000"/>
          <w:sz w:val="20"/>
          <w:szCs w:val="20"/>
        </w:rPr>
      </w:pPr>
      <w:r>
        <w:rPr>
          <w:rFonts w:ascii="Calibri" w:hAnsi="Calibri"/>
          <w:b/>
          <w:color w:val="000000"/>
          <w:sz w:val="20"/>
        </w:rPr>
        <w:t>AZ ALAP-</w:t>
      </w:r>
      <w:r w:rsidR="00CA2FD3">
        <w:rPr>
          <w:rFonts w:ascii="Calibri" w:hAnsi="Calibri"/>
          <w:b/>
          <w:color w:val="000000"/>
          <w:sz w:val="20"/>
        </w:rPr>
        <w:t xml:space="preserve"> ÉS KÖZÉPFOKÚ OKTATÁS SZÍN</w:t>
      </w:r>
      <w:r>
        <w:rPr>
          <w:rFonts w:ascii="Calibri" w:hAnsi="Calibri"/>
          <w:b/>
          <w:color w:val="000000"/>
          <w:sz w:val="20"/>
        </w:rPr>
        <w:t xml:space="preserve">VONALÁNAK EMELÉSÉRE IRÁNYULÓ, </w:t>
      </w:r>
      <w:r w:rsidR="00CA2FD3">
        <w:rPr>
          <w:rFonts w:ascii="Calibri" w:hAnsi="Calibri"/>
          <w:b/>
          <w:color w:val="000000"/>
          <w:sz w:val="20"/>
        </w:rPr>
        <w:t>VAJDASÁG AUTONÓM TARTO</w:t>
      </w:r>
      <w:r w:rsidR="005B6B3D">
        <w:rPr>
          <w:rFonts w:ascii="Calibri" w:hAnsi="Calibri"/>
          <w:b/>
          <w:color w:val="000000"/>
          <w:sz w:val="20"/>
        </w:rPr>
        <w:t>MÁNY TERÜLETÉN MŰKÖDŐ ÁLTALÁNOS ISKOLÁKBAN</w:t>
      </w:r>
      <w:r w:rsidR="00CA2FD3">
        <w:rPr>
          <w:rFonts w:ascii="Calibri" w:hAnsi="Calibri"/>
          <w:b/>
          <w:color w:val="000000"/>
          <w:sz w:val="20"/>
        </w:rPr>
        <w:t xml:space="preserve"> ÉS KÖZÉPISKOLÁKBAN A DIÁKOK BIZTONSÁGÁT NÉPSZERŰSÍTŐ ÉS ELŐMOZDÍTÓ PROGRAMOK ÉS PROJEKTEK 2025. ÉVI FINANSZÍROZÁSÁRA ÉS TÁRSFINANSZÍROZÁSÁRA</w:t>
      </w:r>
    </w:p>
    <w:p w:rsidR="000A672D" w:rsidRPr="00FE656B" w:rsidRDefault="000A672D" w:rsidP="0055552E">
      <w:pPr>
        <w:pBdr>
          <w:top w:val="nil"/>
          <w:left w:val="nil"/>
          <w:bottom w:val="nil"/>
          <w:right w:val="nil"/>
          <w:between w:val="nil"/>
        </w:pBdr>
        <w:jc w:val="center"/>
        <w:rPr>
          <w:rFonts w:ascii="Calibri" w:eastAsia="Calibri" w:hAnsi="Calibri" w:cs="Calibri"/>
          <w:b/>
          <w:color w:val="000000"/>
          <w:sz w:val="20"/>
          <w:szCs w:val="20"/>
        </w:rPr>
      </w:pPr>
    </w:p>
    <w:p w:rsidR="00664892" w:rsidRDefault="00CA2FD3" w:rsidP="0055552E">
      <w:pPr>
        <w:pBdr>
          <w:top w:val="nil"/>
          <w:left w:val="nil"/>
          <w:bottom w:val="nil"/>
          <w:right w:val="nil"/>
          <w:between w:val="nil"/>
        </w:pBdr>
        <w:jc w:val="center"/>
        <w:rPr>
          <w:rFonts w:ascii="Calibri" w:eastAsia="Calibri" w:hAnsi="Calibri" w:cs="Calibri"/>
          <w:b/>
          <w:sz w:val="20"/>
          <w:szCs w:val="20"/>
        </w:rPr>
      </w:pPr>
      <w:r>
        <w:rPr>
          <w:rFonts w:ascii="Calibri" w:hAnsi="Calibri"/>
          <w:sz w:val="20"/>
        </w:rPr>
        <w:t xml:space="preserve">                                                        </w:t>
      </w:r>
    </w:p>
    <w:p w:rsidR="0055552E" w:rsidRDefault="0055552E" w:rsidP="0055552E">
      <w:pPr>
        <w:spacing w:after="60"/>
        <w:ind w:firstLine="567"/>
        <w:jc w:val="both"/>
        <w:rPr>
          <w:rFonts w:ascii="Calibri" w:hAnsi="Calibri" w:cs="Arial"/>
          <w:sz w:val="20"/>
          <w:szCs w:val="20"/>
        </w:rPr>
      </w:pPr>
      <w:r>
        <w:rPr>
          <w:sz w:val="20"/>
        </w:rPr>
        <w:t>A Vajdaság Autonóm Tartomány 2025. évi költségvetéséről szóló tartományi képviselőházi rendelettel biztosított eszközök a Vajdaság Autonóm Tarto</w:t>
      </w:r>
      <w:r w:rsidR="005B6B3D">
        <w:rPr>
          <w:sz w:val="20"/>
        </w:rPr>
        <w:t>mány területén működő általános iskolák</w:t>
      </w:r>
      <w:r>
        <w:rPr>
          <w:sz w:val="20"/>
        </w:rPr>
        <w:t xml:space="preserve"> és középiskolák diákjainak biztonságát népszerűsítő és előmozdító – programok és projektek 2025. évi finanszírozására és társfinanszírozására irányulnak, összesen </w:t>
      </w:r>
      <w:r>
        <w:rPr>
          <w:b/>
          <w:bCs/>
          <w:sz w:val="20"/>
        </w:rPr>
        <w:t>5.000.000,00 dinár</w:t>
      </w:r>
      <w:r>
        <w:rPr>
          <w:sz w:val="20"/>
        </w:rPr>
        <w:t xml:space="preserve"> értékben, amelyből </w:t>
      </w:r>
      <w:r>
        <w:rPr>
          <w:b/>
          <w:bCs/>
          <w:sz w:val="20"/>
        </w:rPr>
        <w:t>3.500.000,00 dinárt</w:t>
      </w:r>
      <w:r>
        <w:rPr>
          <w:sz w:val="20"/>
        </w:rPr>
        <w:t xml:space="preserve"> az általános iskolák részére és</w:t>
      </w:r>
      <w:r>
        <w:rPr>
          <w:b/>
          <w:bCs/>
          <w:sz w:val="20"/>
        </w:rPr>
        <w:t xml:space="preserve"> 1.500.000,00 dinárt</w:t>
      </w:r>
      <w:r>
        <w:rPr>
          <w:sz w:val="20"/>
        </w:rPr>
        <w:t xml:space="preserve"> a középiskolák részére elkülönített.</w:t>
      </w:r>
    </w:p>
    <w:p w:rsidR="00FE656B" w:rsidRPr="00FE656B" w:rsidRDefault="00FE656B" w:rsidP="0055552E">
      <w:pPr>
        <w:spacing w:after="60"/>
        <w:ind w:firstLine="567"/>
        <w:jc w:val="both"/>
        <w:rPr>
          <w:rFonts w:ascii="Calibri" w:hAnsi="Calibri" w:cs="Arial"/>
          <w:sz w:val="20"/>
          <w:szCs w:val="20"/>
        </w:rPr>
      </w:pPr>
    </w:p>
    <w:p w:rsidR="00FE656B" w:rsidRPr="00FE656B" w:rsidRDefault="00FE656B" w:rsidP="00FE656B">
      <w:pPr>
        <w:pStyle w:val="BodyText"/>
        <w:ind w:right="-64" w:firstLine="450"/>
        <w:rPr>
          <w:rFonts w:ascii="Calibri" w:eastAsia="Times New Roman" w:hAnsi="Calibri" w:cs="Arial"/>
          <w:sz w:val="20"/>
        </w:rPr>
      </w:pPr>
      <w:r>
        <w:rPr>
          <w:rFonts w:ascii="Calibri" w:hAnsi="Calibri"/>
          <w:sz w:val="20"/>
        </w:rPr>
        <w:t>Az eszközök odaítélésére a Szerb Köztársaság, az autonóm tartomány és a helyi önkormányzat által alapított, Vajdaság Autonóm Tartomány területén működő alap- és középfokú oktatási-nevelési intézmények jogosultak (a továbbiakban: felhasználók).</w:t>
      </w:r>
    </w:p>
    <w:p w:rsidR="00FE656B" w:rsidRPr="00FE656B" w:rsidRDefault="00FE656B" w:rsidP="00FE656B">
      <w:pPr>
        <w:ind w:right="-64" w:firstLine="450"/>
        <w:jc w:val="both"/>
        <w:rPr>
          <w:rFonts w:ascii="Calibri" w:hAnsi="Calibri" w:cs="Arial"/>
          <w:sz w:val="20"/>
          <w:szCs w:val="20"/>
        </w:rPr>
      </w:pPr>
      <w:r>
        <w:rPr>
          <w:rFonts w:ascii="Calibri" w:hAnsi="Calibri"/>
          <w:sz w:val="20"/>
        </w:rPr>
        <w:t>Az említett eszközök az alap- és középfokú oktatás színvonalának emelését célzó – a Vajdaság Autonóm Tartomány területén működő általános</w:t>
      </w:r>
      <w:r w:rsidR="00AC49DF">
        <w:rPr>
          <w:rFonts w:ascii="Calibri" w:hAnsi="Calibri"/>
          <w:sz w:val="20"/>
        </w:rPr>
        <w:t xml:space="preserve"> iskolák</w:t>
      </w:r>
      <w:r>
        <w:rPr>
          <w:rFonts w:ascii="Calibri" w:hAnsi="Calibri"/>
          <w:sz w:val="20"/>
        </w:rPr>
        <w:t xml:space="preserve"> és középiskolák diákjainak biztonságát népszerűsítő és előmozdító – programok és projektek 2025. évi finanszírozására és társfinanszírozására irányulnak, de különösen az alábbiakra:</w:t>
      </w:r>
    </w:p>
    <w:p w:rsidR="00FE656B" w:rsidRPr="00FE656B" w:rsidRDefault="00FE656B" w:rsidP="00FE656B">
      <w:pPr>
        <w:pStyle w:val="ListParagraph"/>
        <w:numPr>
          <w:ilvl w:val="0"/>
          <w:numId w:val="17"/>
        </w:numPr>
        <w:autoSpaceDE w:val="0"/>
        <w:autoSpaceDN w:val="0"/>
        <w:adjustRightInd w:val="0"/>
        <w:ind w:left="0" w:right="-64" w:firstLine="450"/>
        <w:jc w:val="both"/>
        <w:rPr>
          <w:rFonts w:ascii="Calibri" w:hAnsi="Calibri" w:cs="Arial"/>
          <w:sz w:val="20"/>
          <w:szCs w:val="20"/>
        </w:rPr>
      </w:pPr>
      <w:r>
        <w:rPr>
          <w:rFonts w:ascii="Calibri" w:hAnsi="Calibri"/>
          <w:sz w:val="20"/>
        </w:rPr>
        <w:t>olyan projektekre/programokra, amelyek a pszichoaktív anyagokkal való visszaélés elleni védelemre, az erőszak, bántalmazás és elhanyagolás megelőzésére, valamint a kockázatos magatartás egyéb formáival kapcsolatos ismeretek és készségek fejlesztésére irányulnak a gyermekek és fiatalok körében, továbbá gyakorlati iskolai műhelyekre és külső védőhálózatokra (diákok, tanárok, szülők és a külső védőháló tagjai),</w:t>
      </w:r>
    </w:p>
    <w:p w:rsidR="00FE656B" w:rsidRPr="000A0388" w:rsidRDefault="00FE656B" w:rsidP="000A0388">
      <w:pPr>
        <w:pStyle w:val="ListParagraph"/>
        <w:numPr>
          <w:ilvl w:val="0"/>
          <w:numId w:val="17"/>
        </w:numPr>
        <w:autoSpaceDE w:val="0"/>
        <w:autoSpaceDN w:val="0"/>
        <w:adjustRightInd w:val="0"/>
        <w:ind w:left="0" w:right="-64" w:firstLine="450"/>
        <w:jc w:val="both"/>
        <w:rPr>
          <w:rFonts w:ascii="Calibri" w:hAnsi="Calibri" w:cs="Arial"/>
          <w:sz w:val="20"/>
          <w:szCs w:val="20"/>
        </w:rPr>
      </w:pPr>
      <w:r>
        <w:rPr>
          <w:rFonts w:ascii="Calibri" w:hAnsi="Calibri"/>
          <w:sz w:val="20"/>
        </w:rPr>
        <w:t>olyan projektekre/programokra, amelyek hozzájárulnak a tanárok és szülők ismereteinek és készségeinek bővítéséhez a gyermekek pszichoaktív anyagokkal való visszaéléstől való védelme, az erőszak, a bántalmazás és az elhanyagolás, valamint a kockázatos viselkedés egyéb formái elleni védelem területén, beleértve a diákok biztonsága területén lévő jó gyakorlati példák megosztására irányuló projekteket is (szülők, tanárok és külső védőháló),</w:t>
      </w:r>
    </w:p>
    <w:p w:rsidR="0055552E" w:rsidRPr="0055552E" w:rsidRDefault="0055552E" w:rsidP="0055552E">
      <w:pPr>
        <w:spacing w:before="120" w:after="120"/>
        <w:ind w:right="181"/>
        <w:jc w:val="center"/>
        <w:outlineLvl w:val="0"/>
        <w:rPr>
          <w:rFonts w:ascii="Calibri" w:hAnsi="Calibri"/>
          <w:b/>
          <w:sz w:val="20"/>
          <w:szCs w:val="20"/>
        </w:rPr>
      </w:pPr>
      <w:r>
        <w:rPr>
          <w:rFonts w:ascii="Calibri" w:hAnsi="Calibri"/>
          <w:b/>
          <w:sz w:val="20"/>
        </w:rPr>
        <w:t>AZ ESZKÖZÖK FELOSZTÁSÁNAK MÉRCÉI</w:t>
      </w:r>
    </w:p>
    <w:p w:rsidR="0055552E" w:rsidRDefault="0055552E" w:rsidP="0055552E">
      <w:pPr>
        <w:ind w:right="180" w:firstLine="567"/>
        <w:jc w:val="both"/>
        <w:rPr>
          <w:rFonts w:ascii="Calibri" w:hAnsi="Calibri"/>
          <w:sz w:val="20"/>
          <w:szCs w:val="20"/>
        </w:rPr>
      </w:pPr>
      <w:r>
        <w:rPr>
          <w:rFonts w:ascii="Calibri" w:hAnsi="Calibri"/>
          <w:sz w:val="20"/>
        </w:rPr>
        <w:t>Az odaítélendő eszközök mértékének meghatározásakor a következő mércéket kell alkalmazni:</w:t>
      </w:r>
    </w:p>
    <w:p w:rsidR="00FE656B" w:rsidRDefault="00FE656B" w:rsidP="0055552E">
      <w:pPr>
        <w:ind w:right="180" w:firstLine="567"/>
        <w:jc w:val="both"/>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tblGrid>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jc w:val="center"/>
              <w:rPr>
                <w:rFonts w:ascii="Calibri" w:eastAsia="Calibri" w:hAnsi="Calibri" w:cs="Calibri"/>
                <w:sz w:val="20"/>
                <w:szCs w:val="20"/>
              </w:rPr>
            </w:pPr>
            <w:r>
              <w:rPr>
                <w:rFonts w:ascii="Calibri" w:hAnsi="Calibri"/>
                <w:sz w:val="20"/>
              </w:rPr>
              <w:t>1</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rPr>
                <w:rFonts w:ascii="Calibri" w:eastAsia="Calibri" w:hAnsi="Calibri" w:cs="Calibri"/>
                <w:sz w:val="20"/>
                <w:szCs w:val="20"/>
              </w:rPr>
            </w:pPr>
            <w:r>
              <w:rPr>
                <w:rFonts w:ascii="Calibri" w:hAnsi="Calibri"/>
                <w:sz w:val="20"/>
              </w:rPr>
              <w:t>a külső védőháló programtevékenységekbe való bevonásának mértéke,</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jc w:val="center"/>
              <w:rPr>
                <w:rFonts w:ascii="Calibri" w:eastAsia="Calibri" w:hAnsi="Calibri" w:cs="Calibri"/>
                <w:sz w:val="20"/>
                <w:szCs w:val="20"/>
              </w:rPr>
            </w:pPr>
            <w:r>
              <w:rPr>
                <w:rFonts w:ascii="Calibri" w:hAnsi="Calibri"/>
                <w:sz w:val="20"/>
              </w:rPr>
              <w:t>2</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rPr>
                <w:rFonts w:ascii="Calibri" w:eastAsia="Calibri" w:hAnsi="Calibri" w:cs="Calibri"/>
                <w:sz w:val="20"/>
                <w:szCs w:val="20"/>
              </w:rPr>
            </w:pPr>
            <w:r>
              <w:rPr>
                <w:rFonts w:ascii="Calibri" w:hAnsi="Calibri"/>
                <w:sz w:val="20"/>
              </w:rPr>
              <w:t>a célcsoport (diákok és szülők) bevonásának mértéke, amely részére a programot/projektet szánják,</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jc w:val="center"/>
              <w:rPr>
                <w:rFonts w:ascii="Calibri" w:hAnsi="Calibri" w:cs="Calibri"/>
                <w:sz w:val="20"/>
                <w:szCs w:val="20"/>
              </w:rPr>
            </w:pPr>
            <w:r>
              <w:rPr>
                <w:rFonts w:ascii="Calibri" w:hAnsi="Calibri"/>
                <w:sz w:val="20"/>
              </w:rPr>
              <w:lastRenderedPageBreak/>
              <w:t>3</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rPr>
                <w:rFonts w:ascii="Calibri" w:eastAsia="Calibri" w:hAnsi="Calibri" w:cs="Calibri"/>
                <w:sz w:val="20"/>
                <w:szCs w:val="20"/>
              </w:rPr>
            </w:pPr>
            <w:r>
              <w:rPr>
                <w:rFonts w:ascii="Calibri" w:hAnsi="Calibri"/>
                <w:sz w:val="20"/>
              </w:rPr>
              <w:t>a nevelő-oktató munka előmozdításához hozzájáruló programok/projektek megvalósítása alkalmával szerzett eddigi tapasztalatok,</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rPr>
            </w:pPr>
            <w:r>
              <w:rPr>
                <w:rFonts w:ascii="Calibri" w:hAnsi="Calibri"/>
                <w:sz w:val="20"/>
              </w:rPr>
              <w:t>4</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rPr>
            </w:pPr>
            <w:r>
              <w:rPr>
                <w:rFonts w:ascii="Calibri" w:hAnsi="Calibri"/>
                <w:sz w:val="20"/>
              </w:rPr>
              <w:t xml:space="preserve">az intézmény székhelye szerinti helyi önkormányzat fejlettségi szintje, </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rPr>
            </w:pPr>
            <w:r>
              <w:rPr>
                <w:rFonts w:ascii="Calibri" w:hAnsi="Calibri"/>
                <w:sz w:val="20"/>
              </w:rPr>
              <w:t>5</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rPr>
            </w:pPr>
            <w:r>
              <w:rPr>
                <w:rFonts w:ascii="Calibri" w:hAnsi="Calibri"/>
                <w:sz w:val="20"/>
              </w:rPr>
              <w:t>a programtevékenységek, illetve projektek egyéb finanszírozási forrásainak megléte,</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rPr>
            </w:pPr>
            <w:r>
              <w:rPr>
                <w:rFonts w:ascii="Calibri" w:hAnsi="Calibri"/>
                <w:sz w:val="20"/>
              </w:rPr>
              <w:t>6</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rPr>
            </w:pPr>
            <w:r>
              <w:rPr>
                <w:rFonts w:ascii="Calibri" w:hAnsi="Calibri"/>
                <w:sz w:val="20"/>
              </w:rPr>
              <w:t xml:space="preserve">a Vajdaság AT költségvetéséből az előző években odaítélt eszközök sikeres felhasználása, amelyet a költségvetési eszközök rendeltetésszerű és jogszerű felhasználásáról szóló jelentés és a kapcsolódó bizonyítékok támasztanak alá, </w:t>
            </w:r>
          </w:p>
        </w:tc>
      </w:tr>
    </w:tbl>
    <w:p w:rsidR="00FE656B" w:rsidRDefault="00FE656B" w:rsidP="0055552E">
      <w:pPr>
        <w:ind w:right="180" w:firstLine="567"/>
        <w:jc w:val="both"/>
        <w:rPr>
          <w:rFonts w:ascii="Calibri" w:hAnsi="Calibri"/>
          <w:sz w:val="20"/>
          <w:szCs w:val="20"/>
        </w:rPr>
      </w:pPr>
    </w:p>
    <w:p w:rsidR="0055552E" w:rsidRPr="0055552E" w:rsidRDefault="0055552E" w:rsidP="00833A76">
      <w:pPr>
        <w:contextualSpacing/>
        <w:jc w:val="both"/>
        <w:rPr>
          <w:rFonts w:ascii="Calibri" w:hAnsi="Calibri"/>
          <w:sz w:val="20"/>
          <w:szCs w:val="20"/>
          <w:u w:val="single"/>
        </w:rPr>
      </w:pPr>
    </w:p>
    <w:p w:rsidR="0055552E" w:rsidRPr="0055552E" w:rsidRDefault="0055552E" w:rsidP="0055552E">
      <w:pPr>
        <w:spacing w:before="120" w:after="120"/>
        <w:ind w:right="181"/>
        <w:jc w:val="center"/>
        <w:rPr>
          <w:rFonts w:ascii="Calibri" w:hAnsi="Calibri"/>
          <w:b/>
          <w:sz w:val="20"/>
          <w:szCs w:val="20"/>
        </w:rPr>
      </w:pPr>
      <w:r>
        <w:rPr>
          <w:rFonts w:ascii="Calibri" w:hAnsi="Calibri"/>
          <w:b/>
          <w:sz w:val="20"/>
        </w:rPr>
        <w:t>A PÁLYÁZÁS MÓDJA</w:t>
      </w:r>
    </w:p>
    <w:p w:rsidR="00AC3E3B" w:rsidRPr="00FE656B" w:rsidRDefault="00AC3E3B" w:rsidP="0055552E">
      <w:pPr>
        <w:spacing w:before="60"/>
        <w:ind w:firstLine="708"/>
        <w:jc w:val="both"/>
        <w:rPr>
          <w:rFonts w:asciiTheme="majorHAnsi" w:hAnsiTheme="majorHAnsi" w:cstheme="majorHAnsi"/>
          <w:sz w:val="20"/>
          <w:szCs w:val="20"/>
          <w:lang w:val="ru-RU"/>
        </w:rPr>
      </w:pPr>
    </w:p>
    <w:p w:rsidR="00833A76" w:rsidRDefault="00FE656B" w:rsidP="00833A76">
      <w:pPr>
        <w:spacing w:before="60"/>
        <w:ind w:firstLine="567"/>
        <w:jc w:val="both"/>
        <w:rPr>
          <w:rFonts w:asciiTheme="majorHAnsi" w:hAnsiTheme="majorHAnsi" w:cstheme="majorHAnsi"/>
          <w:b/>
          <w:sz w:val="20"/>
          <w:szCs w:val="20"/>
          <w:u w:val="single"/>
        </w:rPr>
      </w:pPr>
      <w:r>
        <w:rPr>
          <w:rFonts w:asciiTheme="majorHAnsi" w:hAnsiTheme="majorHAnsi"/>
          <w:sz w:val="20"/>
        </w:rPr>
        <w:t>Az eszközök odaítélésére vonatkozó kérelmeket a Titkárság egy</w:t>
      </w:r>
      <w:r w:rsidR="00C56A00">
        <w:rPr>
          <w:rFonts w:asciiTheme="majorHAnsi" w:hAnsiTheme="majorHAnsi"/>
          <w:sz w:val="20"/>
        </w:rPr>
        <w:t>séges pályázati űrlapj</w:t>
      </w:r>
      <w:r>
        <w:rPr>
          <w:rFonts w:asciiTheme="majorHAnsi" w:hAnsiTheme="majorHAnsi"/>
          <w:sz w:val="20"/>
        </w:rPr>
        <w:t>án kell benyújtani, amely letölthető a T</w:t>
      </w:r>
      <w:r w:rsidR="00833A76">
        <w:rPr>
          <w:rFonts w:asciiTheme="majorHAnsi" w:hAnsiTheme="majorHAnsi"/>
          <w:sz w:val="20"/>
        </w:rPr>
        <w:t xml:space="preserve">itkárság </w:t>
      </w:r>
      <w:hyperlink r:id="rId6" w:history="1">
        <w:r w:rsidR="00CE6D59" w:rsidRPr="0007292B">
          <w:rPr>
            <w:rStyle w:val="Hyperlink"/>
            <w:rFonts w:asciiTheme="minorHAnsi" w:hAnsiTheme="minorHAnsi"/>
            <w:sz w:val="20"/>
          </w:rPr>
          <w:t>www.puma.vojvodina.gov.rs</w:t>
        </w:r>
      </w:hyperlink>
      <w:r w:rsidR="00CE6D59">
        <w:rPr>
          <w:rFonts w:asciiTheme="minorHAnsi" w:hAnsiTheme="minorHAnsi"/>
          <w:sz w:val="20"/>
        </w:rPr>
        <w:t xml:space="preserve"> </w:t>
      </w:r>
      <w:r w:rsidR="00833A76">
        <w:rPr>
          <w:rFonts w:asciiTheme="majorHAnsi" w:hAnsiTheme="majorHAnsi"/>
          <w:sz w:val="20"/>
        </w:rPr>
        <w:t>hivatalos honlapjáról.</w:t>
      </w:r>
      <w:r w:rsidR="00833A76">
        <w:rPr>
          <w:rFonts w:asciiTheme="minorHAnsi" w:hAnsiTheme="minorHAnsi"/>
          <w:sz w:val="16"/>
        </w:rPr>
        <w:t xml:space="preserve"> </w:t>
      </w:r>
      <w:r w:rsidRPr="00833A76">
        <w:rPr>
          <w:rFonts w:asciiTheme="minorHAnsi" w:hAnsiTheme="minorHAnsi"/>
          <w:sz w:val="16"/>
        </w:rPr>
        <w:br/>
      </w:r>
    </w:p>
    <w:p w:rsidR="00FE656B" w:rsidRDefault="00FE656B" w:rsidP="00FE656B">
      <w:pPr>
        <w:spacing w:after="60"/>
        <w:ind w:right="181" w:firstLine="567"/>
        <w:jc w:val="both"/>
        <w:rPr>
          <w:rFonts w:ascii="Calibri" w:hAnsi="Calibri"/>
          <w:sz w:val="20"/>
          <w:szCs w:val="20"/>
        </w:rPr>
      </w:pPr>
      <w:r>
        <w:rPr>
          <w:rFonts w:ascii="Calibri" w:hAnsi="Calibri"/>
          <w:b/>
          <w:sz w:val="20"/>
        </w:rPr>
        <w:t>Egy jogi személy legfeljebb két kérelmet nyújthat be.</w:t>
      </w:r>
    </w:p>
    <w:p w:rsidR="00FE656B" w:rsidRDefault="00FE656B" w:rsidP="00FE656B">
      <w:pPr>
        <w:tabs>
          <w:tab w:val="left" w:pos="810"/>
        </w:tabs>
        <w:spacing w:before="60"/>
        <w:contextualSpacing/>
        <w:jc w:val="both"/>
        <w:rPr>
          <w:rFonts w:ascii="Calibri" w:hAnsi="Calibri"/>
          <w:sz w:val="20"/>
          <w:szCs w:val="20"/>
        </w:rPr>
      </w:pPr>
      <w:r>
        <w:rPr>
          <w:rFonts w:ascii="Calibri" w:hAnsi="Calibri"/>
          <w:sz w:val="20"/>
        </w:rPr>
        <w:t xml:space="preserve">            </w:t>
      </w:r>
      <w:proofErr w:type="gramStart"/>
      <w:r>
        <w:rPr>
          <w:rFonts w:ascii="Calibri" w:hAnsi="Calibri"/>
          <w:sz w:val="20"/>
        </w:rPr>
        <w:t>A Bizottság nem vitatja meg: a hiányos kérelmeket, a késve érkező kérelmeket, a nem engedélyezett kérelmeket (illetéktelen személyek és a pályázatban nem előirányozott alanyo</w:t>
      </w:r>
      <w:r w:rsidR="00CE6D59">
        <w:rPr>
          <w:rFonts w:ascii="Calibri" w:hAnsi="Calibri"/>
          <w:sz w:val="20"/>
        </w:rPr>
        <w:t xml:space="preserve">k által benyújtott kérelmeket), </w:t>
      </w:r>
      <w:r>
        <w:rPr>
          <w:rFonts w:ascii="Calibri" w:hAnsi="Calibri"/>
          <w:sz w:val="20"/>
        </w:rPr>
        <w:t>azokat a kérelmeket, amelyek a pályázatban előirányzott rendeltetésekre nem vonatkoznak, a projekt megvalósításával kapcsolatos felszerelés beszerzésére vagy karbantartására vonatkozó kérelmeket, azon felhasználók kérelmeit, akik pénzügyi és leíró jelentéssel nem igazolták az előző időszakban odaítélt eszközöket, azon felhasználók kérelmeit, akik az előző pályázati időszakban megvalósított programokról/projektekrő</w:t>
      </w:r>
      <w:proofErr w:type="gramEnd"/>
      <w:r>
        <w:rPr>
          <w:rFonts w:ascii="Calibri" w:hAnsi="Calibri"/>
          <w:sz w:val="20"/>
        </w:rPr>
        <w:t xml:space="preserve">l </w:t>
      </w:r>
      <w:proofErr w:type="gramStart"/>
      <w:r>
        <w:rPr>
          <w:rFonts w:ascii="Calibri" w:hAnsi="Calibri"/>
          <w:sz w:val="20"/>
        </w:rPr>
        <w:t>szóló</w:t>
      </w:r>
      <w:proofErr w:type="gramEnd"/>
      <w:r>
        <w:rPr>
          <w:rFonts w:ascii="Calibri" w:hAnsi="Calibri"/>
          <w:sz w:val="20"/>
        </w:rPr>
        <w:t xml:space="preserve"> leíró/pénzügyi jelentést az előirányozott határidőben nem küldték meg, azokat a programokat, illetve projekteket, amelyeket a költségvetési év folyamán túlnyomórészt nem lehet megvalósítani.</w:t>
      </w:r>
    </w:p>
    <w:p w:rsidR="00FE656B" w:rsidRPr="00AC3E3B" w:rsidRDefault="00FE656B" w:rsidP="00FE656B">
      <w:pPr>
        <w:spacing w:before="120" w:after="120"/>
        <w:jc w:val="both"/>
        <w:rPr>
          <w:rFonts w:asciiTheme="majorHAnsi" w:hAnsiTheme="majorHAnsi" w:cstheme="majorHAnsi"/>
          <w:sz w:val="20"/>
          <w:szCs w:val="20"/>
        </w:rPr>
      </w:pPr>
      <w:r>
        <w:rPr>
          <w:rFonts w:asciiTheme="majorHAnsi" w:hAnsiTheme="majorHAnsi"/>
          <w:b/>
          <w:sz w:val="20"/>
        </w:rPr>
        <w:t xml:space="preserve">          </w:t>
      </w:r>
      <w:r>
        <w:rPr>
          <w:rFonts w:asciiTheme="majorHAnsi" w:hAnsiTheme="majorHAnsi"/>
          <w:sz w:val="20"/>
        </w:rPr>
        <w:t xml:space="preserve">Az eszközöknek az igénybe vevők számára való odaítéléséről - a beérkezett kérelmeket megvitató Pályázati Bizottság javaslatára - az oktatásban illetékes tartományi titkár dönt. A Bizottság fenntartja a jogot, hogy a pályázótól, szükség szerint, kiegészítő dokumentációt vagy tájékoztatást kérjen, illetve az eszközök odaítéléséhez megfelelő feltételek teljesítését határozza meg. </w:t>
      </w:r>
    </w:p>
    <w:p w:rsidR="00FE656B" w:rsidRPr="00AC3E3B" w:rsidRDefault="00FE656B" w:rsidP="00FE656B">
      <w:pPr>
        <w:spacing w:before="120" w:after="120"/>
        <w:ind w:firstLine="567"/>
        <w:jc w:val="both"/>
        <w:rPr>
          <w:rFonts w:asciiTheme="majorHAnsi" w:hAnsiTheme="majorHAnsi" w:cstheme="majorHAnsi"/>
          <w:sz w:val="20"/>
          <w:szCs w:val="20"/>
        </w:rPr>
      </w:pPr>
      <w:r>
        <w:rPr>
          <w:rFonts w:asciiTheme="majorHAnsi" w:hAnsiTheme="majorHAnsi"/>
          <w:sz w:val="20"/>
        </w:rPr>
        <w:t xml:space="preserve">Ha a kérelmet az arra felhatalmazott személy írja alá, feltétlenül csatolni kell az aláírásra vonatkozó szabályosan aláírt felhatalmazást. </w:t>
      </w:r>
    </w:p>
    <w:p w:rsidR="00FE656B" w:rsidRPr="00CE6D59" w:rsidRDefault="00FE656B" w:rsidP="00CE6D59">
      <w:pPr>
        <w:spacing w:before="120" w:after="120"/>
        <w:ind w:firstLine="567"/>
        <w:jc w:val="both"/>
        <w:rPr>
          <w:rFonts w:asciiTheme="majorHAnsi" w:hAnsiTheme="majorHAnsi" w:cstheme="majorHAnsi"/>
          <w:sz w:val="20"/>
          <w:szCs w:val="20"/>
        </w:rPr>
      </w:pPr>
      <w:r>
        <w:rPr>
          <w:rFonts w:asciiTheme="majorHAnsi" w:hAnsiTheme="majorHAnsi"/>
          <w:sz w:val="20"/>
        </w:rPr>
        <w:t>A pályázat eredményeit a Titkárság honlapján közzé kell tenni.</w:t>
      </w:r>
    </w:p>
    <w:p w:rsidR="00FE656B" w:rsidRDefault="00FE656B" w:rsidP="00FE656B">
      <w:pPr>
        <w:ind w:left="-180" w:right="180" w:firstLine="747"/>
        <w:jc w:val="both"/>
        <w:rPr>
          <w:rFonts w:asciiTheme="majorHAnsi" w:hAnsiTheme="majorHAnsi" w:cstheme="majorHAnsi"/>
          <w:b/>
          <w:sz w:val="20"/>
          <w:szCs w:val="20"/>
          <w:u w:val="single"/>
        </w:rPr>
      </w:pPr>
      <w:r>
        <w:rPr>
          <w:rFonts w:asciiTheme="majorHAnsi" w:hAnsiTheme="majorHAnsi"/>
          <w:b/>
          <w:sz w:val="20"/>
          <w:u w:val="single"/>
        </w:rPr>
        <w:t>A pályázati kérelmek benyújtási határideje 2025. március 14.</w:t>
      </w:r>
    </w:p>
    <w:p w:rsidR="00342DDD" w:rsidRDefault="00342DDD" w:rsidP="00342DDD">
      <w:pPr>
        <w:spacing w:before="60"/>
        <w:ind w:firstLine="540"/>
        <w:jc w:val="both"/>
        <w:rPr>
          <w:rFonts w:asciiTheme="majorHAnsi" w:hAnsiTheme="majorHAnsi" w:cstheme="majorHAnsi"/>
          <w:b/>
          <w:sz w:val="20"/>
          <w:szCs w:val="20"/>
        </w:rPr>
      </w:pPr>
      <w:r>
        <w:rPr>
          <w:rFonts w:asciiTheme="majorHAnsi" w:hAnsiTheme="majorHAnsi"/>
          <w:b/>
          <w:sz w:val="20"/>
        </w:rPr>
        <w:t xml:space="preserve">A pályázat megvalósításával kapcsolatos kiegészítő információk az alábbi telefonszámon kaphatók: 021/487- 4452. </w:t>
      </w:r>
    </w:p>
    <w:p w:rsidR="00FE656B" w:rsidRPr="00AC3E3B" w:rsidRDefault="00FE656B" w:rsidP="00CE6D59">
      <w:pPr>
        <w:ind w:right="180"/>
        <w:jc w:val="both"/>
        <w:rPr>
          <w:rFonts w:asciiTheme="majorHAnsi" w:hAnsiTheme="majorHAnsi" w:cstheme="majorHAnsi"/>
          <w:b/>
          <w:sz w:val="20"/>
          <w:szCs w:val="20"/>
          <w:u w:val="single"/>
        </w:rPr>
      </w:pPr>
    </w:p>
    <w:p w:rsidR="00FE656B" w:rsidRPr="00AC3E3B" w:rsidRDefault="00FE656B" w:rsidP="00FE656B">
      <w:pPr>
        <w:jc w:val="both"/>
        <w:rPr>
          <w:rFonts w:asciiTheme="majorHAnsi" w:hAnsiTheme="majorHAnsi" w:cstheme="majorHAnsi"/>
          <w:sz w:val="20"/>
          <w:szCs w:val="20"/>
        </w:rPr>
      </w:pPr>
      <w:r>
        <w:rPr>
          <w:rFonts w:asciiTheme="majorHAnsi" w:hAnsiTheme="majorHAnsi"/>
          <w:sz w:val="20"/>
        </w:rPr>
        <w:t>A pályázati kérelmeket (kizárólag a Tartományi Titkárság honl</w:t>
      </w:r>
      <w:r w:rsidR="00C56A00">
        <w:rPr>
          <w:rFonts w:asciiTheme="majorHAnsi" w:hAnsiTheme="majorHAnsi"/>
          <w:sz w:val="20"/>
        </w:rPr>
        <w:t>apján közzétett űrlap</w:t>
      </w:r>
      <w:r>
        <w:rPr>
          <w:rFonts w:asciiTheme="majorHAnsi" w:hAnsiTheme="majorHAnsi"/>
          <w:sz w:val="20"/>
        </w:rPr>
        <w:t xml:space="preserve">on kitöltve) </w:t>
      </w:r>
      <w:r>
        <w:rPr>
          <w:rFonts w:asciiTheme="majorHAnsi" w:hAnsiTheme="majorHAnsi"/>
          <w:sz w:val="20"/>
          <w:u w:val="single"/>
        </w:rPr>
        <w:t>papír formában</w:t>
      </w:r>
      <w:r>
        <w:rPr>
          <w:rFonts w:asciiTheme="majorHAnsi" w:hAnsiTheme="majorHAnsi"/>
          <w:sz w:val="20"/>
        </w:rPr>
        <w:t xml:space="preserve">, lezárt borítékban az alábbi címre kell megküldeni: </w:t>
      </w:r>
    </w:p>
    <w:p w:rsidR="00FE656B" w:rsidRPr="00AC3E3B" w:rsidRDefault="00FE656B" w:rsidP="00FE656B">
      <w:pPr>
        <w:ind w:left="720"/>
        <w:jc w:val="both"/>
        <w:rPr>
          <w:rFonts w:asciiTheme="majorHAnsi" w:hAnsiTheme="majorHAnsi" w:cstheme="majorHAnsi"/>
          <w:sz w:val="20"/>
          <w:szCs w:val="20"/>
        </w:rPr>
      </w:pPr>
    </w:p>
    <w:p w:rsidR="00FE656B" w:rsidRPr="00AC3E3B" w:rsidRDefault="00FE656B" w:rsidP="00FE656B">
      <w:pPr>
        <w:jc w:val="both"/>
        <w:rPr>
          <w:rFonts w:asciiTheme="majorHAnsi" w:eastAsia="Calibri" w:hAnsiTheme="majorHAnsi" w:cstheme="majorHAnsi"/>
          <w:sz w:val="20"/>
          <w:szCs w:val="20"/>
        </w:rPr>
      </w:pPr>
      <w:r>
        <w:rPr>
          <w:rFonts w:asciiTheme="majorHAnsi" w:hAnsiTheme="majorHAnsi"/>
          <w:b/>
          <w:bCs/>
          <w:sz w:val="20"/>
        </w:rPr>
        <w:t>POKRAJINSKI SEKRETARIJAT ZA OBRAZOVANJE, PROPISE, UPRAVU I NACIONALNE MANJINE – NACIONALNE ZAJEDNICE</w:t>
      </w:r>
      <w:r>
        <w:rPr>
          <w:rFonts w:asciiTheme="majorHAnsi" w:hAnsiTheme="majorHAnsi"/>
          <w:sz w:val="20"/>
        </w:rPr>
        <w:cr/>
      </w:r>
      <w:r>
        <w:rPr>
          <w:rFonts w:asciiTheme="majorHAnsi" w:hAnsiTheme="majorHAnsi"/>
          <w:sz w:val="20"/>
        </w:rPr>
        <w:br/>
      </w:r>
      <w:proofErr w:type="spellStart"/>
      <w:r>
        <w:rPr>
          <w:rFonts w:asciiTheme="majorHAnsi" w:hAnsiTheme="majorHAnsi"/>
          <w:b/>
          <w:bCs/>
          <w:sz w:val="20"/>
        </w:rPr>
        <w:t>Bulevar</w:t>
      </w:r>
      <w:proofErr w:type="spellEnd"/>
      <w:r>
        <w:rPr>
          <w:rFonts w:asciiTheme="majorHAnsi" w:hAnsiTheme="majorHAnsi"/>
          <w:b/>
          <w:bCs/>
          <w:sz w:val="20"/>
        </w:rPr>
        <w:t xml:space="preserve"> </w:t>
      </w:r>
      <w:proofErr w:type="spellStart"/>
      <w:r>
        <w:rPr>
          <w:rFonts w:asciiTheme="majorHAnsi" w:hAnsiTheme="majorHAnsi"/>
          <w:b/>
          <w:bCs/>
          <w:sz w:val="20"/>
        </w:rPr>
        <w:t>Mihajla</w:t>
      </w:r>
      <w:proofErr w:type="spellEnd"/>
      <w:r>
        <w:rPr>
          <w:rFonts w:asciiTheme="majorHAnsi" w:hAnsiTheme="majorHAnsi"/>
          <w:b/>
          <w:bCs/>
          <w:sz w:val="20"/>
        </w:rPr>
        <w:t xml:space="preserve"> </w:t>
      </w:r>
      <w:proofErr w:type="spellStart"/>
      <w:r>
        <w:rPr>
          <w:rFonts w:asciiTheme="majorHAnsi" w:hAnsiTheme="majorHAnsi"/>
          <w:b/>
          <w:bCs/>
          <w:sz w:val="20"/>
        </w:rPr>
        <w:t>Pupina</w:t>
      </w:r>
      <w:proofErr w:type="spellEnd"/>
      <w:r>
        <w:rPr>
          <w:rFonts w:asciiTheme="majorHAnsi" w:hAnsiTheme="majorHAnsi"/>
          <w:b/>
          <w:bCs/>
          <w:sz w:val="20"/>
        </w:rPr>
        <w:t xml:space="preserve"> 16, 21000 </w:t>
      </w:r>
      <w:proofErr w:type="spellStart"/>
      <w:r>
        <w:rPr>
          <w:rFonts w:asciiTheme="majorHAnsi" w:hAnsiTheme="majorHAnsi"/>
          <w:b/>
          <w:bCs/>
          <w:sz w:val="20"/>
        </w:rPr>
        <w:t>Novi</w:t>
      </w:r>
      <w:proofErr w:type="spellEnd"/>
      <w:r>
        <w:rPr>
          <w:rFonts w:asciiTheme="majorHAnsi" w:hAnsiTheme="majorHAnsi"/>
          <w:b/>
          <w:bCs/>
          <w:sz w:val="20"/>
        </w:rPr>
        <w:t xml:space="preserve"> </w:t>
      </w:r>
      <w:proofErr w:type="spellStart"/>
      <w:r>
        <w:rPr>
          <w:rFonts w:asciiTheme="majorHAnsi" w:hAnsiTheme="majorHAnsi"/>
          <w:b/>
          <w:bCs/>
          <w:sz w:val="20"/>
        </w:rPr>
        <w:t>Sad</w:t>
      </w:r>
      <w:proofErr w:type="spellEnd"/>
      <w:r>
        <w:rPr>
          <w:rFonts w:asciiTheme="majorHAnsi" w:hAnsiTheme="majorHAnsi"/>
          <w:sz w:val="20"/>
        </w:rPr>
        <w:t xml:space="preserve"> </w:t>
      </w:r>
      <w:r>
        <w:rPr>
          <w:rFonts w:asciiTheme="majorHAnsi" w:hAnsiTheme="majorHAnsi"/>
          <w:i/>
          <w:iCs/>
          <w:sz w:val="20"/>
        </w:rPr>
        <w:t xml:space="preserve">(Tartományi Oktatási, Jogalkotási, Közigazgatási és Nemzeti Kisebbségi – Nemzeti Közösségi Titkárság, 21000 Újvidék, </w:t>
      </w:r>
      <w:proofErr w:type="spellStart"/>
      <w:r>
        <w:rPr>
          <w:rFonts w:asciiTheme="majorHAnsi" w:hAnsiTheme="majorHAnsi"/>
          <w:i/>
          <w:iCs/>
          <w:sz w:val="20"/>
        </w:rPr>
        <w:t>Mihajlo</w:t>
      </w:r>
      <w:proofErr w:type="spellEnd"/>
      <w:r>
        <w:rPr>
          <w:rFonts w:asciiTheme="majorHAnsi" w:hAnsiTheme="majorHAnsi"/>
          <w:i/>
          <w:iCs/>
          <w:sz w:val="20"/>
        </w:rPr>
        <w:t xml:space="preserve"> </w:t>
      </w:r>
      <w:proofErr w:type="spellStart"/>
      <w:r>
        <w:rPr>
          <w:rFonts w:asciiTheme="majorHAnsi" w:hAnsiTheme="majorHAnsi"/>
          <w:i/>
          <w:iCs/>
          <w:sz w:val="20"/>
        </w:rPr>
        <w:t>Pupin</w:t>
      </w:r>
      <w:proofErr w:type="spellEnd"/>
      <w:r>
        <w:rPr>
          <w:rFonts w:asciiTheme="majorHAnsi" w:hAnsiTheme="majorHAnsi"/>
          <w:i/>
          <w:iCs/>
          <w:sz w:val="20"/>
        </w:rPr>
        <w:t xml:space="preserve"> sugárút 16.)</w:t>
      </w:r>
      <w:r>
        <w:rPr>
          <w:rFonts w:asciiTheme="majorHAnsi" w:hAnsiTheme="majorHAnsi"/>
          <w:sz w:val="20"/>
        </w:rPr>
        <w:cr/>
      </w:r>
      <w:r>
        <w:rPr>
          <w:rFonts w:asciiTheme="majorHAnsi" w:hAnsiTheme="majorHAnsi"/>
          <w:sz w:val="20"/>
        </w:rPr>
        <w:br/>
      </w:r>
      <w:proofErr w:type="gramStart"/>
      <w:r>
        <w:rPr>
          <w:rFonts w:asciiTheme="majorHAnsi" w:hAnsiTheme="majorHAnsi"/>
          <w:sz w:val="20"/>
        </w:rPr>
        <w:t>a</w:t>
      </w:r>
      <w:proofErr w:type="gramEnd"/>
      <w:r>
        <w:rPr>
          <w:rFonts w:asciiTheme="majorHAnsi" w:hAnsiTheme="majorHAnsi"/>
          <w:sz w:val="20"/>
        </w:rPr>
        <w:t xml:space="preserve"> pályázat/program és projekt elnevezésének megjelölésével </w:t>
      </w:r>
      <w:r>
        <w:rPr>
          <w:rFonts w:asciiTheme="majorHAnsi" w:hAnsiTheme="majorHAnsi"/>
          <w:sz w:val="20"/>
          <w:u w:val="single"/>
        </w:rPr>
        <w:t>postai úton, vagy személyesen</w:t>
      </w:r>
      <w:r>
        <w:rPr>
          <w:rFonts w:asciiTheme="majorHAnsi" w:hAnsiTheme="majorHAnsi"/>
          <w:sz w:val="20"/>
        </w:rPr>
        <w:t xml:space="preserve"> kell átadni a tartományi szervek iktatójában (a fentiekben feltüntetett címen) 9-től 14 óráig. </w:t>
      </w:r>
    </w:p>
    <w:p w:rsidR="00FE656B" w:rsidRPr="00AC3E3B" w:rsidRDefault="00FE656B" w:rsidP="00FE656B">
      <w:pPr>
        <w:ind w:left="-180" w:right="180" w:firstLine="747"/>
        <w:jc w:val="both"/>
        <w:rPr>
          <w:rFonts w:asciiTheme="majorHAnsi" w:hAnsiTheme="majorHAnsi" w:cstheme="majorHAnsi"/>
          <w:b/>
          <w:color w:val="00B0F0"/>
          <w:sz w:val="20"/>
          <w:szCs w:val="20"/>
          <w:u w:val="single"/>
        </w:rPr>
      </w:pPr>
    </w:p>
    <w:p w:rsidR="00FE656B" w:rsidRPr="00AC3E3B" w:rsidRDefault="00FE656B" w:rsidP="00FE656B">
      <w:pPr>
        <w:spacing w:before="60"/>
        <w:ind w:firstLine="567"/>
        <w:jc w:val="both"/>
        <w:rPr>
          <w:rFonts w:asciiTheme="majorHAnsi" w:hAnsiTheme="majorHAnsi" w:cstheme="majorHAnsi"/>
          <w:b/>
          <w:sz w:val="20"/>
          <w:szCs w:val="20"/>
          <w:u w:val="single"/>
        </w:rPr>
      </w:pPr>
      <w:r>
        <w:rPr>
          <w:rFonts w:asciiTheme="majorHAnsi" w:hAnsiTheme="majorHAnsi"/>
          <w:sz w:val="20"/>
        </w:rPr>
        <w:t xml:space="preserve">Az említett pályázatokra vonatkozó űrlapok, a mellékletekkel együtt a Titkárság www.puma.vojvodina.gov.rs hivatalos honlapjáról </w:t>
      </w:r>
      <w:r>
        <w:rPr>
          <w:rFonts w:asciiTheme="majorHAnsi" w:hAnsiTheme="majorHAnsi"/>
          <w:b/>
          <w:bCs/>
          <w:sz w:val="20"/>
          <w:u w:val="single"/>
        </w:rPr>
        <w:t>2025. február 12-től</w:t>
      </w:r>
      <w:r w:rsidR="00BA73EC">
        <w:rPr>
          <w:rFonts w:asciiTheme="majorHAnsi" w:hAnsiTheme="majorHAnsi"/>
          <w:sz w:val="20"/>
        </w:rPr>
        <w:t xml:space="preserve"> </w:t>
      </w:r>
      <w:r w:rsidR="00FD3AA6">
        <w:rPr>
          <w:rFonts w:asciiTheme="majorHAnsi" w:hAnsiTheme="majorHAnsi"/>
          <w:sz w:val="20"/>
        </w:rPr>
        <w:t>tölthető</w:t>
      </w:r>
      <w:r w:rsidR="00BA73EC">
        <w:rPr>
          <w:rFonts w:asciiTheme="majorHAnsi" w:hAnsiTheme="majorHAnsi"/>
          <w:sz w:val="20"/>
        </w:rPr>
        <w:t xml:space="preserve"> le</w:t>
      </w:r>
      <w:bookmarkStart w:id="1" w:name="_GoBack"/>
      <w:bookmarkEnd w:id="1"/>
      <w:r>
        <w:rPr>
          <w:rFonts w:asciiTheme="majorHAnsi" w:hAnsiTheme="majorHAnsi"/>
          <w:sz w:val="20"/>
        </w:rPr>
        <w:t xml:space="preserve">. </w:t>
      </w:r>
    </w:p>
    <w:p w:rsidR="00FE656B" w:rsidRPr="00AC3E3B" w:rsidRDefault="00FE656B" w:rsidP="00CE6D59">
      <w:pPr>
        <w:ind w:left="5760" w:firstLine="720"/>
        <w:jc w:val="center"/>
        <w:rPr>
          <w:rFonts w:asciiTheme="majorHAnsi" w:eastAsia="Calibri" w:hAnsiTheme="majorHAnsi" w:cstheme="majorHAnsi"/>
          <w:b/>
          <w:sz w:val="20"/>
          <w:szCs w:val="20"/>
        </w:rPr>
      </w:pPr>
      <w:r>
        <w:rPr>
          <w:rFonts w:asciiTheme="majorHAnsi" w:hAnsiTheme="majorHAnsi"/>
          <w:b/>
          <w:sz w:val="20"/>
        </w:rPr>
        <w:t xml:space="preserve">                                                                                                                                                                 </w:t>
      </w:r>
      <w:r w:rsidR="00CE6D59">
        <w:rPr>
          <w:rFonts w:asciiTheme="majorHAnsi" w:hAnsiTheme="majorHAnsi"/>
          <w:b/>
          <w:sz w:val="20"/>
        </w:rPr>
        <w:t xml:space="preserve">           </w:t>
      </w:r>
      <w:r w:rsidR="00EC4461">
        <w:rPr>
          <w:rFonts w:asciiTheme="majorHAnsi" w:hAnsiTheme="majorHAnsi"/>
          <w:b/>
          <w:sz w:val="20"/>
        </w:rPr>
        <w:t xml:space="preserve">    </w:t>
      </w:r>
      <w:proofErr w:type="spellStart"/>
      <w:r w:rsidR="00CE6D59">
        <w:rPr>
          <w:rFonts w:asciiTheme="majorHAnsi" w:hAnsiTheme="majorHAnsi"/>
          <w:sz w:val="20"/>
        </w:rPr>
        <w:t>Ótott</w:t>
      </w:r>
      <w:proofErr w:type="spellEnd"/>
      <w:r w:rsidR="00CE6D59">
        <w:rPr>
          <w:rFonts w:asciiTheme="majorHAnsi" w:hAnsiTheme="majorHAnsi"/>
          <w:sz w:val="20"/>
        </w:rPr>
        <w:t xml:space="preserve"> Róbert </w:t>
      </w:r>
      <w:r>
        <w:rPr>
          <w:rFonts w:asciiTheme="majorHAnsi" w:hAnsiTheme="majorHAnsi"/>
          <w:b/>
          <w:sz w:val="20"/>
        </w:rPr>
        <w:t xml:space="preserve">                                                                                                                                                                                                                                                                 </w:t>
      </w:r>
    </w:p>
    <w:p w:rsidR="00FE656B" w:rsidRPr="00AC3E3B" w:rsidRDefault="00FE656B" w:rsidP="00FE656B">
      <w:pPr>
        <w:tabs>
          <w:tab w:val="center" w:pos="7200"/>
        </w:tabs>
        <w:rPr>
          <w:rFonts w:asciiTheme="majorHAnsi" w:eastAsia="Calibri" w:hAnsiTheme="majorHAnsi" w:cstheme="majorHAnsi"/>
          <w:b/>
          <w:sz w:val="20"/>
          <w:szCs w:val="20"/>
        </w:rPr>
      </w:pPr>
      <w:r>
        <w:rPr>
          <w:rFonts w:asciiTheme="majorHAnsi" w:hAnsiTheme="majorHAnsi"/>
          <w:sz w:val="20"/>
        </w:rPr>
        <w:tab/>
      </w:r>
      <w:r w:rsidR="00EC4461">
        <w:rPr>
          <w:rFonts w:asciiTheme="majorHAnsi" w:hAnsiTheme="majorHAnsi"/>
          <w:b/>
          <w:sz w:val="20"/>
        </w:rPr>
        <w:t>         </w:t>
      </w:r>
      <w:r>
        <w:rPr>
          <w:rFonts w:asciiTheme="majorHAnsi" w:hAnsiTheme="majorHAnsi"/>
          <w:b/>
          <w:sz w:val="20"/>
        </w:rPr>
        <w:t>TARTOMÁNYI TITKÁR</w:t>
      </w:r>
    </w:p>
    <w:p w:rsidR="00664892" w:rsidRPr="00AC3E3B" w:rsidRDefault="00664892" w:rsidP="00FE656B">
      <w:pPr>
        <w:shd w:val="clear" w:color="auto" w:fill="FFFFFF"/>
        <w:ind w:firstLine="284"/>
        <w:jc w:val="both"/>
        <w:rPr>
          <w:rFonts w:asciiTheme="majorHAnsi" w:eastAsia="Calibri" w:hAnsiTheme="majorHAnsi" w:cstheme="majorHAnsi"/>
          <w:b/>
          <w:sz w:val="20"/>
          <w:szCs w:val="20"/>
        </w:rPr>
      </w:pPr>
    </w:p>
    <w:sectPr w:rsidR="00664892" w:rsidRPr="00AC3E3B">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5"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8"/>
  </w:num>
  <w:num w:numId="4">
    <w:abstractNumId w:val="5"/>
  </w:num>
  <w:num w:numId="5">
    <w:abstractNumId w:val="9"/>
  </w:num>
  <w:num w:numId="6">
    <w:abstractNumId w:val="1"/>
  </w:num>
  <w:num w:numId="7">
    <w:abstractNumId w:val="10"/>
  </w:num>
  <w:num w:numId="8">
    <w:abstractNumId w:val="0"/>
  </w:num>
  <w:num w:numId="9">
    <w:abstractNumId w:val="7"/>
  </w:num>
  <w:num w:numId="10">
    <w:abstractNumId w:val="2"/>
  </w:num>
  <w:num w:numId="11">
    <w:abstractNumId w:val="15"/>
  </w:num>
  <w:num w:numId="12">
    <w:abstractNumId w:val="3"/>
  </w:num>
  <w:num w:numId="13">
    <w:abstractNumId w:val="13"/>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8750A"/>
    <w:rsid w:val="000A0388"/>
    <w:rsid w:val="000A672D"/>
    <w:rsid w:val="000C4ECD"/>
    <w:rsid w:val="00232CD9"/>
    <w:rsid w:val="00286E3D"/>
    <w:rsid w:val="00322C2D"/>
    <w:rsid w:val="00342DDD"/>
    <w:rsid w:val="003C4044"/>
    <w:rsid w:val="004004E9"/>
    <w:rsid w:val="0055552E"/>
    <w:rsid w:val="005B6B3D"/>
    <w:rsid w:val="005C05C3"/>
    <w:rsid w:val="00621288"/>
    <w:rsid w:val="00664892"/>
    <w:rsid w:val="006B086E"/>
    <w:rsid w:val="00703587"/>
    <w:rsid w:val="00833A76"/>
    <w:rsid w:val="008F529A"/>
    <w:rsid w:val="00955C75"/>
    <w:rsid w:val="00AC3E3B"/>
    <w:rsid w:val="00AC49DF"/>
    <w:rsid w:val="00AF4FDC"/>
    <w:rsid w:val="00BA73EC"/>
    <w:rsid w:val="00BF311D"/>
    <w:rsid w:val="00C56A00"/>
    <w:rsid w:val="00CA2FD3"/>
    <w:rsid w:val="00CE6D59"/>
    <w:rsid w:val="00D55636"/>
    <w:rsid w:val="00D83DAF"/>
    <w:rsid w:val="00D84747"/>
    <w:rsid w:val="00DF19ED"/>
    <w:rsid w:val="00EC4461"/>
    <w:rsid w:val="00F53905"/>
    <w:rsid w:val="00F55690"/>
    <w:rsid w:val="00FB7595"/>
    <w:rsid w:val="00FD3AA6"/>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8789"/>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character" w:styleId="Hyperlink">
    <w:name w:val="Hyperlink"/>
    <w:basedOn w:val="DefaultParagraphFont"/>
    <w:uiPriority w:val="99"/>
    <w:unhideWhenUsed/>
    <w:rsid w:val="00AC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776">
      <w:bodyDiv w:val="1"/>
      <w:marLeft w:val="0"/>
      <w:marRight w:val="0"/>
      <w:marTop w:val="0"/>
      <w:marBottom w:val="0"/>
      <w:divBdr>
        <w:top w:val="none" w:sz="0" w:space="0" w:color="auto"/>
        <w:left w:val="none" w:sz="0" w:space="0" w:color="auto"/>
        <w:bottom w:val="none" w:sz="0" w:space="0" w:color="auto"/>
        <w:right w:val="none" w:sz="0" w:space="0" w:color="auto"/>
      </w:divBdr>
    </w:div>
    <w:div w:id="121000593">
      <w:bodyDiv w:val="1"/>
      <w:marLeft w:val="0"/>
      <w:marRight w:val="0"/>
      <w:marTop w:val="0"/>
      <w:marBottom w:val="0"/>
      <w:divBdr>
        <w:top w:val="none" w:sz="0" w:space="0" w:color="auto"/>
        <w:left w:val="none" w:sz="0" w:space="0" w:color="auto"/>
        <w:bottom w:val="none" w:sz="0" w:space="0" w:color="auto"/>
        <w:right w:val="none" w:sz="0" w:space="0" w:color="auto"/>
      </w:divBdr>
    </w:div>
    <w:div w:id="357463398">
      <w:bodyDiv w:val="1"/>
      <w:marLeft w:val="0"/>
      <w:marRight w:val="0"/>
      <w:marTop w:val="0"/>
      <w:marBottom w:val="0"/>
      <w:divBdr>
        <w:top w:val="none" w:sz="0" w:space="0" w:color="auto"/>
        <w:left w:val="none" w:sz="0" w:space="0" w:color="auto"/>
        <w:bottom w:val="none" w:sz="0" w:space="0" w:color="auto"/>
        <w:right w:val="none" w:sz="0" w:space="0" w:color="auto"/>
      </w:divBdr>
    </w:div>
    <w:div w:id="357779657">
      <w:bodyDiv w:val="1"/>
      <w:marLeft w:val="0"/>
      <w:marRight w:val="0"/>
      <w:marTop w:val="0"/>
      <w:marBottom w:val="0"/>
      <w:divBdr>
        <w:top w:val="none" w:sz="0" w:space="0" w:color="auto"/>
        <w:left w:val="none" w:sz="0" w:space="0" w:color="auto"/>
        <w:bottom w:val="none" w:sz="0" w:space="0" w:color="auto"/>
        <w:right w:val="none" w:sz="0" w:space="0" w:color="auto"/>
      </w:divBdr>
    </w:div>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508175417">
      <w:bodyDiv w:val="1"/>
      <w:marLeft w:val="0"/>
      <w:marRight w:val="0"/>
      <w:marTop w:val="0"/>
      <w:marBottom w:val="0"/>
      <w:divBdr>
        <w:top w:val="none" w:sz="0" w:space="0" w:color="auto"/>
        <w:left w:val="none" w:sz="0" w:space="0" w:color="auto"/>
        <w:bottom w:val="none" w:sz="0" w:space="0" w:color="auto"/>
        <w:right w:val="none" w:sz="0" w:space="0" w:color="auto"/>
      </w:divBdr>
    </w:div>
    <w:div w:id="633684646">
      <w:bodyDiv w:val="1"/>
      <w:marLeft w:val="0"/>
      <w:marRight w:val="0"/>
      <w:marTop w:val="0"/>
      <w:marBottom w:val="0"/>
      <w:divBdr>
        <w:top w:val="none" w:sz="0" w:space="0" w:color="auto"/>
        <w:left w:val="none" w:sz="0" w:space="0" w:color="auto"/>
        <w:bottom w:val="none" w:sz="0" w:space="0" w:color="auto"/>
        <w:right w:val="none" w:sz="0" w:space="0" w:color="auto"/>
      </w:divBdr>
    </w:div>
    <w:div w:id="1412584083">
      <w:bodyDiv w:val="1"/>
      <w:marLeft w:val="0"/>
      <w:marRight w:val="0"/>
      <w:marTop w:val="0"/>
      <w:marBottom w:val="0"/>
      <w:divBdr>
        <w:top w:val="none" w:sz="0" w:space="0" w:color="auto"/>
        <w:left w:val="none" w:sz="0" w:space="0" w:color="auto"/>
        <w:bottom w:val="none" w:sz="0" w:space="0" w:color="auto"/>
        <w:right w:val="none" w:sz="0" w:space="0" w:color="auto"/>
      </w:divBdr>
    </w:div>
    <w:div w:id="1832596500">
      <w:bodyDiv w:val="1"/>
      <w:marLeft w:val="0"/>
      <w:marRight w:val="0"/>
      <w:marTop w:val="0"/>
      <w:marBottom w:val="0"/>
      <w:divBdr>
        <w:top w:val="none" w:sz="0" w:space="0" w:color="auto"/>
        <w:left w:val="none" w:sz="0" w:space="0" w:color="auto"/>
        <w:bottom w:val="none" w:sz="0" w:space="0" w:color="auto"/>
        <w:right w:val="none" w:sz="0" w:space="0" w:color="auto"/>
      </w:divBdr>
    </w:div>
    <w:div w:id="1888907801">
      <w:bodyDiv w:val="1"/>
      <w:marLeft w:val="0"/>
      <w:marRight w:val="0"/>
      <w:marTop w:val="0"/>
      <w:marBottom w:val="0"/>
      <w:divBdr>
        <w:top w:val="none" w:sz="0" w:space="0" w:color="auto"/>
        <w:left w:val="none" w:sz="0" w:space="0" w:color="auto"/>
        <w:bottom w:val="none" w:sz="0" w:space="0" w:color="auto"/>
        <w:right w:val="none" w:sz="0" w:space="0" w:color="auto"/>
      </w:divBdr>
    </w:div>
    <w:div w:id="1955012203">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834</Words>
  <Characters>6215</Characters>
  <Application>Microsoft Office Word</Application>
  <DocSecurity>0</DocSecurity>
  <Lines>121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Teodor Cicevski</cp:lastModifiedBy>
  <cp:revision>14</cp:revision>
  <dcterms:created xsi:type="dcterms:W3CDTF">2025-02-11T13:28:00Z</dcterms:created>
  <dcterms:modified xsi:type="dcterms:W3CDTF">2025-02-12T11:55:00Z</dcterms:modified>
</cp:coreProperties>
</file>