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892" w:rsidRDefault="0066489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072" w:type="dxa"/>
        <w:tblInd w:w="108" w:type="dxa"/>
        <w:tblLayout w:type="fixed"/>
        <w:tblLook w:val="0400" w:firstRow="0" w:lastRow="0" w:firstColumn="0" w:lastColumn="0" w:noHBand="0" w:noVBand="1"/>
      </w:tblPr>
      <w:tblGrid>
        <w:gridCol w:w="2552"/>
        <w:gridCol w:w="4139"/>
        <w:gridCol w:w="2381"/>
      </w:tblGrid>
      <w:tr w:rsidR="00664892" w:rsidTr="00621288">
        <w:trPr>
          <w:trHeight w:val="1975"/>
        </w:trPr>
        <w:tc>
          <w:tcPr>
            <w:tcW w:w="2552" w:type="dxa"/>
          </w:tcPr>
          <w:p w:rsidR="00664892" w:rsidRDefault="00CA2FD3">
            <w:pPr>
              <w:tabs>
                <w:tab w:val="center" w:pos="4703"/>
                <w:tab w:val="right" w:pos="9406"/>
              </w:tabs>
              <w:ind w:left="-198" w:firstLine="108"/>
              <w:rPr>
                <w:rFonts w:ascii="Calibri" w:eastAsia="Calibri" w:hAnsi="Calibri" w:cs="Calibri"/>
                <w:sz w:val="22"/>
                <w:szCs w:val="22"/>
              </w:rPr>
            </w:pPr>
            <w:r>
              <w:rPr>
                <w:rFonts w:ascii="Calibri" w:eastAsia="Calibri" w:hAnsi="Calibri" w:cs="Calibri"/>
                <w:noProof/>
                <w:sz w:val="22"/>
                <w:szCs w:val="22"/>
                <w:lang w:val="en-US"/>
              </w:rPr>
              <w:drawing>
                <wp:inline distT="0" distB="0" distL="0" distR="0">
                  <wp:extent cx="1485900" cy="962025"/>
                  <wp:effectExtent l="0" t="0" r="0" b="0"/>
                  <wp:docPr id="1" name="image1.png" descr="ГРБОВИ ЗА МЕМОРАНДУМ"/>
                  <wp:cNvGraphicFramePr/>
                  <a:graphic xmlns:a="http://schemas.openxmlformats.org/drawingml/2006/main">
                    <a:graphicData uri="http://schemas.openxmlformats.org/drawingml/2006/picture">
                      <pic:pic xmlns:pic="http://schemas.openxmlformats.org/drawingml/2006/picture">
                        <pic:nvPicPr>
                          <pic:cNvPr id="0" name="image1.png" descr="ГРБОВИ ЗА МЕМОРАНДУМ"/>
                          <pic:cNvPicPr preferRelativeResize="0"/>
                        </pic:nvPicPr>
                        <pic:blipFill>
                          <a:blip r:embed="rId5"/>
                          <a:srcRect/>
                          <a:stretch>
                            <a:fillRect/>
                          </a:stretch>
                        </pic:blipFill>
                        <pic:spPr>
                          <a:xfrm>
                            <a:off x="0" y="0"/>
                            <a:ext cx="1485900" cy="962025"/>
                          </a:xfrm>
                          <a:prstGeom prst="rect">
                            <a:avLst/>
                          </a:prstGeom>
                          <a:ln/>
                        </pic:spPr>
                      </pic:pic>
                    </a:graphicData>
                  </a:graphic>
                </wp:inline>
              </w:drawing>
            </w:r>
          </w:p>
        </w:tc>
        <w:tc>
          <w:tcPr>
            <w:tcW w:w="6520" w:type="dxa"/>
            <w:gridSpan w:val="2"/>
          </w:tcPr>
          <w:p w:rsidR="00664892" w:rsidRDefault="00CA2FD3">
            <w:pPr>
              <w:tabs>
                <w:tab w:val="center" w:pos="4703"/>
                <w:tab w:val="right" w:pos="9406"/>
              </w:tabs>
              <w:rPr>
                <w:rFonts w:ascii="Calibri" w:eastAsia="Calibri" w:hAnsi="Calibri" w:cs="Calibri"/>
                <w:sz w:val="20"/>
                <w:szCs w:val="20"/>
              </w:rPr>
            </w:pPr>
            <w:r>
              <w:rPr>
                <w:rFonts w:ascii="Calibri" w:hAnsi="Calibri"/>
                <w:sz w:val="20"/>
                <w:szCs w:val="20"/>
              </w:rPr>
              <w:t>Republica Serbia</w:t>
            </w:r>
          </w:p>
          <w:p w:rsidR="00664892" w:rsidRDefault="00CA2FD3">
            <w:pPr>
              <w:rPr>
                <w:rFonts w:ascii="Calibri" w:eastAsia="Calibri" w:hAnsi="Calibri" w:cs="Calibri"/>
                <w:sz w:val="20"/>
                <w:szCs w:val="20"/>
              </w:rPr>
            </w:pPr>
            <w:r>
              <w:rPr>
                <w:rFonts w:ascii="Calibri" w:hAnsi="Calibri"/>
                <w:sz w:val="20"/>
                <w:szCs w:val="20"/>
              </w:rPr>
              <w:t>Provincia Autonomă Voivodina</w:t>
            </w:r>
          </w:p>
          <w:p w:rsidR="00664892" w:rsidRDefault="00CA2FD3">
            <w:pPr>
              <w:rPr>
                <w:rFonts w:ascii="Calibri" w:eastAsia="Calibri" w:hAnsi="Calibri" w:cs="Calibri"/>
                <w:b/>
                <w:sz w:val="20"/>
                <w:szCs w:val="20"/>
              </w:rPr>
            </w:pPr>
            <w:r>
              <w:rPr>
                <w:rFonts w:ascii="Calibri" w:hAnsi="Calibri"/>
                <w:b/>
                <w:sz w:val="20"/>
                <w:szCs w:val="20"/>
              </w:rPr>
              <w:t>Secretariatul Provincial pentru Educaţie, Reglementări, Administraţie şi Minorităţile Naţionale – Comunităţile Naţionale</w:t>
            </w:r>
          </w:p>
          <w:p w:rsidR="00664892" w:rsidRPr="00CA2FD3" w:rsidRDefault="00CA2FD3">
            <w:pPr>
              <w:tabs>
                <w:tab w:val="center" w:pos="4703"/>
                <w:tab w:val="right" w:pos="9406"/>
              </w:tabs>
              <w:rPr>
                <w:rFonts w:ascii="Calibri" w:eastAsia="Calibri" w:hAnsi="Calibri" w:cs="Calibri"/>
                <w:sz w:val="18"/>
                <w:szCs w:val="20"/>
              </w:rPr>
            </w:pPr>
            <w:r>
              <w:rPr>
                <w:rFonts w:ascii="Calibri" w:hAnsi="Calibri"/>
                <w:sz w:val="18"/>
                <w:szCs w:val="20"/>
              </w:rPr>
              <w:t>Bulevar Mihajla Pupina 16, 21000 Novi Sad</w:t>
            </w:r>
          </w:p>
          <w:p w:rsidR="00664892" w:rsidRPr="00CA2FD3" w:rsidRDefault="00CA2FD3" w:rsidP="004004E9">
            <w:pPr>
              <w:rPr>
                <w:rFonts w:ascii="Calibri" w:eastAsia="Calibri" w:hAnsi="Calibri" w:cs="Calibri"/>
                <w:sz w:val="18"/>
                <w:szCs w:val="20"/>
              </w:rPr>
            </w:pPr>
            <w:r>
              <w:rPr>
                <w:rFonts w:ascii="Calibri" w:hAnsi="Calibri"/>
                <w:sz w:val="18"/>
                <w:szCs w:val="20"/>
              </w:rPr>
              <w:t>T: +381 21 487 4452</w:t>
            </w:r>
          </w:p>
          <w:p w:rsidR="00664892" w:rsidRDefault="00CA2FD3">
            <w:pPr>
              <w:spacing w:after="200"/>
              <w:rPr>
                <w:rFonts w:ascii="Calibri" w:eastAsia="Calibri" w:hAnsi="Calibri" w:cs="Calibri"/>
                <w:sz w:val="20"/>
                <w:szCs w:val="20"/>
              </w:rPr>
            </w:pPr>
            <w:r>
              <w:rPr>
                <w:rFonts w:ascii="Calibri" w:hAnsi="Calibri"/>
                <w:sz w:val="18"/>
                <w:szCs w:val="20"/>
              </w:rPr>
              <w:t>Ounz@vojvodinа.gov.rs</w:t>
            </w:r>
          </w:p>
        </w:tc>
      </w:tr>
      <w:tr w:rsidR="00664892" w:rsidRPr="00621288" w:rsidTr="00621288">
        <w:trPr>
          <w:trHeight w:val="305"/>
        </w:trPr>
        <w:tc>
          <w:tcPr>
            <w:tcW w:w="2552" w:type="dxa"/>
          </w:tcPr>
          <w:p w:rsidR="00664892" w:rsidRPr="00621288" w:rsidRDefault="00664892">
            <w:pPr>
              <w:tabs>
                <w:tab w:val="center" w:pos="4703"/>
                <w:tab w:val="right" w:pos="9406"/>
              </w:tabs>
              <w:ind w:left="-198" w:firstLine="108"/>
              <w:rPr>
                <w:rFonts w:ascii="Calibri" w:eastAsia="Calibri" w:hAnsi="Calibri" w:cs="Calibri"/>
                <w:sz w:val="18"/>
                <w:szCs w:val="18"/>
              </w:rPr>
            </w:pPr>
          </w:p>
        </w:tc>
        <w:tc>
          <w:tcPr>
            <w:tcW w:w="4139" w:type="dxa"/>
          </w:tcPr>
          <w:p w:rsidR="00664892" w:rsidRPr="00703587" w:rsidRDefault="00CA2FD3" w:rsidP="00FE656B">
            <w:pPr>
              <w:tabs>
                <w:tab w:val="center" w:pos="4703"/>
                <w:tab w:val="right" w:pos="9406"/>
              </w:tabs>
              <w:rPr>
                <w:rFonts w:ascii="Calibri" w:eastAsia="Calibri" w:hAnsi="Calibri" w:cs="Calibri"/>
                <w:sz w:val="18"/>
                <w:szCs w:val="18"/>
              </w:rPr>
            </w:pPr>
            <w:r>
              <w:rPr>
                <w:rFonts w:ascii="Calibri" w:hAnsi="Calibri"/>
                <w:sz w:val="18"/>
                <w:szCs w:val="18"/>
              </w:rPr>
              <w:t>NUMĂRUL:00428588  2025 09427</w:t>
            </w:r>
          </w:p>
        </w:tc>
        <w:tc>
          <w:tcPr>
            <w:tcW w:w="2381" w:type="dxa"/>
          </w:tcPr>
          <w:p w:rsidR="00664892" w:rsidRPr="00621288" w:rsidRDefault="00CA2FD3" w:rsidP="00703587">
            <w:pPr>
              <w:tabs>
                <w:tab w:val="center" w:pos="4703"/>
                <w:tab w:val="right" w:pos="9406"/>
              </w:tabs>
              <w:rPr>
                <w:rFonts w:ascii="Calibri" w:eastAsia="Calibri" w:hAnsi="Calibri" w:cs="Calibri"/>
                <w:sz w:val="18"/>
                <w:szCs w:val="18"/>
              </w:rPr>
            </w:pPr>
            <w:r>
              <w:rPr>
                <w:rFonts w:ascii="Calibri" w:hAnsi="Calibri"/>
                <w:sz w:val="18"/>
                <w:szCs w:val="18"/>
              </w:rPr>
              <w:t>DATA: 12.02.2025</w:t>
            </w:r>
          </w:p>
        </w:tc>
      </w:tr>
    </w:tbl>
    <w:p w:rsidR="00664892" w:rsidRDefault="00664892">
      <w:pPr>
        <w:rPr>
          <w:rFonts w:ascii="Calibri" w:eastAsia="Calibri" w:hAnsi="Calibri" w:cs="Calibri"/>
          <w:sz w:val="22"/>
          <w:szCs w:val="22"/>
        </w:rPr>
      </w:pPr>
    </w:p>
    <w:p w:rsidR="000C4ECD" w:rsidRPr="00FE656B" w:rsidRDefault="000C4ECD" w:rsidP="0055552E">
      <w:pPr>
        <w:jc w:val="both"/>
        <w:rPr>
          <w:rFonts w:asciiTheme="majorHAnsi" w:hAnsiTheme="majorHAnsi" w:cstheme="majorHAnsi"/>
          <w:sz w:val="20"/>
        </w:rPr>
      </w:pPr>
      <w:r>
        <w:rPr>
          <w:rFonts w:ascii="Calibri" w:hAnsi="Calibri"/>
          <w:sz w:val="20"/>
        </w:rPr>
        <w:t xml:space="preserve">În baza articolului 5 </w:t>
      </w:r>
      <w:r>
        <w:rPr>
          <w:sz w:val="20"/>
        </w:rPr>
        <w:t>din Hotărârea Adunării Provinciei privind repartizarea mijloacelor bugetare pentru finanțarea și cofinanțarea  activităților de program și proiectelor din domeniul educației și instrucției elementare și medii și al nivelului de trai al elevilor din Provincia Autonomă Voivodina ("Buletinul oficial al P.A.V.", numărul 14/15 şi 10/17), art. 24 alineatul 2</w:t>
      </w:r>
      <w:r>
        <w:rPr>
          <w:rFonts w:asciiTheme="majorHAnsi" w:hAnsiTheme="majorHAnsi"/>
          <w:sz w:val="20"/>
        </w:rPr>
        <w:t xml:space="preserve"> din Hotărârea Adunării Provinciei privind administrația provincială (Buletinul oficial al P.A.V.", numărul 37/2014, 54/2014 - altă hotărâre, 37/2016, 29/2017, 24/2019, 66/20 şi 38/2021) şi articolului 2 Regulamentul privind repartizarea mijloacelor bugetare ale Secretariatului Provincial pentru Educaţie, Reglementări, Administraţie şi Minorităţile Naţionale - Comunităţile Naţionale pentru finanţarea şi cofinanţarea programelor şi proiectelor care promovează și îmbunătățesc siguranța elevilor în școlile elementare și medii de pe teritoriul P.A. Voivodina în anul 2025  („Buletinul oficial al P.A.V.”, nr.  8/2025), secretarul provincial pentru educaţie, reglementări, administraţie şi minorităţile naţionale ‒ comunităţile naţionale publică: </w:t>
      </w:r>
    </w:p>
    <w:p w:rsidR="00664892" w:rsidRDefault="00664892">
      <w:pPr>
        <w:pBdr>
          <w:top w:val="nil"/>
          <w:left w:val="nil"/>
          <w:bottom w:val="nil"/>
          <w:right w:val="nil"/>
          <w:between w:val="nil"/>
        </w:pBdr>
        <w:jc w:val="center"/>
        <w:rPr>
          <w:rFonts w:ascii="Calibri" w:eastAsia="Calibri" w:hAnsi="Calibri" w:cs="Calibri"/>
          <w:b/>
          <w:color w:val="000000"/>
          <w:sz w:val="20"/>
          <w:szCs w:val="20"/>
        </w:rPr>
      </w:pPr>
    </w:p>
    <w:p w:rsidR="00664892" w:rsidRDefault="00CA2FD3">
      <w:pPr>
        <w:pBdr>
          <w:top w:val="nil"/>
          <w:left w:val="nil"/>
          <w:bottom w:val="nil"/>
          <w:right w:val="nil"/>
          <w:between w:val="nil"/>
        </w:pBdr>
        <w:jc w:val="center"/>
        <w:rPr>
          <w:rFonts w:ascii="Calibri" w:eastAsia="Calibri" w:hAnsi="Calibri" w:cs="Calibri"/>
          <w:b/>
          <w:color w:val="000000"/>
          <w:sz w:val="20"/>
          <w:szCs w:val="20"/>
        </w:rPr>
      </w:pPr>
      <w:bookmarkStart w:id="0" w:name="_gjdgxs"/>
      <w:bookmarkEnd w:id="0"/>
      <w:r>
        <w:rPr>
          <w:rFonts w:ascii="Calibri" w:hAnsi="Calibri"/>
          <w:b/>
          <w:color w:val="000000"/>
          <w:sz w:val="20"/>
          <w:szCs w:val="20"/>
        </w:rPr>
        <w:t xml:space="preserve">CONCURS  </w:t>
      </w:r>
    </w:p>
    <w:p w:rsidR="00FE656B" w:rsidRPr="00FE656B" w:rsidRDefault="00CA2FD3" w:rsidP="00FE656B">
      <w:pPr>
        <w:ind w:right="-18"/>
        <w:jc w:val="center"/>
        <w:outlineLvl w:val="0"/>
        <w:rPr>
          <w:rFonts w:ascii="Calibri" w:eastAsia="Calibri" w:hAnsi="Calibri" w:cs="Calibri"/>
          <w:b/>
          <w:color w:val="000000"/>
          <w:sz w:val="20"/>
          <w:szCs w:val="20"/>
        </w:rPr>
      </w:pPr>
      <w:r>
        <w:rPr>
          <w:rFonts w:ascii="Calibri" w:hAnsi="Calibri"/>
          <w:b/>
          <w:color w:val="000000"/>
          <w:sz w:val="20"/>
          <w:szCs w:val="20"/>
        </w:rPr>
        <w:t>PENTRU FINANȚAREA ȘI COFINANȚAREA PROGRAMELOR ŞI PROIECTELOR PENTRU RIDICAREA CALITĂŢII EDUCAŢIEI ELEMENTARE ŞI MEDII - PROMOVAREA ŞI ÎMBUNĂTĂŢIREA SIGURANŢEI ELEVILOR ÎN ŞCOLILE ELEMENTARE ŞI MEDII DE PE TERITORIUL P</w:t>
      </w:r>
      <w:r w:rsidR="00B24F9D">
        <w:rPr>
          <w:rFonts w:ascii="Calibri" w:hAnsi="Calibri"/>
          <w:b/>
          <w:color w:val="000000"/>
          <w:sz w:val="20"/>
          <w:szCs w:val="20"/>
        </w:rPr>
        <w:t xml:space="preserve">.A. VOIVODINA PENTRU ANUL 2025 </w:t>
      </w:r>
    </w:p>
    <w:p w:rsidR="000A672D" w:rsidRPr="00FE656B" w:rsidRDefault="000A672D" w:rsidP="0055552E">
      <w:pPr>
        <w:pBdr>
          <w:top w:val="nil"/>
          <w:left w:val="nil"/>
          <w:bottom w:val="nil"/>
          <w:right w:val="nil"/>
          <w:between w:val="nil"/>
        </w:pBdr>
        <w:jc w:val="center"/>
        <w:rPr>
          <w:rFonts w:ascii="Calibri" w:eastAsia="Calibri" w:hAnsi="Calibri" w:cs="Calibri"/>
          <w:b/>
          <w:color w:val="000000"/>
          <w:sz w:val="20"/>
          <w:szCs w:val="20"/>
        </w:rPr>
      </w:pPr>
    </w:p>
    <w:p w:rsidR="00664892" w:rsidRDefault="00CA2FD3" w:rsidP="0055552E">
      <w:pPr>
        <w:pBdr>
          <w:top w:val="nil"/>
          <w:left w:val="nil"/>
          <w:bottom w:val="nil"/>
          <w:right w:val="nil"/>
          <w:between w:val="nil"/>
        </w:pBdr>
        <w:jc w:val="center"/>
        <w:rPr>
          <w:rFonts w:ascii="Calibri" w:eastAsia="Calibri" w:hAnsi="Calibri" w:cs="Calibri"/>
          <w:b/>
          <w:sz w:val="20"/>
          <w:szCs w:val="20"/>
        </w:rPr>
      </w:pPr>
      <w:r>
        <w:rPr>
          <w:rFonts w:ascii="Calibri" w:hAnsi="Calibri"/>
          <w:sz w:val="20"/>
          <w:szCs w:val="20"/>
        </w:rPr>
        <w:t xml:space="preserve">                                                        </w:t>
      </w:r>
    </w:p>
    <w:p w:rsidR="0055552E" w:rsidRDefault="0055552E" w:rsidP="0055552E">
      <w:pPr>
        <w:spacing w:after="60"/>
        <w:ind w:firstLine="567"/>
        <w:jc w:val="both"/>
        <w:rPr>
          <w:rFonts w:ascii="Calibri" w:hAnsi="Calibri" w:cs="Arial"/>
          <w:sz w:val="20"/>
          <w:szCs w:val="20"/>
        </w:rPr>
      </w:pPr>
      <w:r>
        <w:rPr>
          <w:sz w:val="20"/>
          <w:szCs w:val="20"/>
        </w:rPr>
        <w:t xml:space="preserve">Mijloacele asigurate prin Hotărârea Adunării Provinciei privind bugetul Provinciei Autonome Voivodina  pentru anul 2025 pentru finanțarea și cofinanțarea programelor și proiectelor care promovează și îmbunătățesc siguranța elevilor în școlile elementare și medii de pe teritoriul P.A. Voivodina în anul 2025, sunt în total de </w:t>
      </w:r>
      <w:r>
        <w:rPr>
          <w:b/>
          <w:sz w:val="20"/>
          <w:szCs w:val="20"/>
        </w:rPr>
        <w:t>5.000.000,00 dinari</w:t>
      </w:r>
      <w:r>
        <w:rPr>
          <w:sz w:val="20"/>
          <w:szCs w:val="20"/>
        </w:rPr>
        <w:t xml:space="preserve">, dintre care </w:t>
      </w:r>
      <w:r w:rsidRPr="003F14A8">
        <w:rPr>
          <w:b/>
          <w:sz w:val="20"/>
          <w:szCs w:val="20"/>
        </w:rPr>
        <w:t>3.500.000,00 dinari</w:t>
      </w:r>
      <w:r>
        <w:rPr>
          <w:sz w:val="20"/>
          <w:szCs w:val="20"/>
        </w:rPr>
        <w:t xml:space="preserve"> pentru şcolile elementar și </w:t>
      </w:r>
      <w:r w:rsidRPr="003F14A8">
        <w:rPr>
          <w:b/>
          <w:sz w:val="20"/>
          <w:szCs w:val="20"/>
        </w:rPr>
        <w:t xml:space="preserve">1.500.000,00 dinari </w:t>
      </w:r>
      <w:r>
        <w:rPr>
          <w:sz w:val="20"/>
          <w:szCs w:val="20"/>
        </w:rPr>
        <w:t>pentru şcolile medii.</w:t>
      </w:r>
    </w:p>
    <w:p w:rsidR="00FE656B" w:rsidRPr="00FE656B" w:rsidRDefault="00FE656B" w:rsidP="0055552E">
      <w:pPr>
        <w:spacing w:after="60"/>
        <w:ind w:firstLine="567"/>
        <w:jc w:val="both"/>
        <w:rPr>
          <w:rFonts w:ascii="Calibri" w:hAnsi="Calibri" w:cs="Arial"/>
          <w:sz w:val="20"/>
          <w:szCs w:val="20"/>
        </w:rPr>
      </w:pPr>
    </w:p>
    <w:p w:rsidR="00FE656B" w:rsidRPr="00FE656B" w:rsidRDefault="00FE656B" w:rsidP="00FE656B">
      <w:pPr>
        <w:pStyle w:val="BodyText"/>
        <w:ind w:right="-64" w:firstLine="450"/>
        <w:rPr>
          <w:rFonts w:ascii="Calibri" w:eastAsia="Times New Roman" w:hAnsi="Calibri" w:cs="Arial"/>
          <w:sz w:val="20"/>
        </w:rPr>
      </w:pPr>
      <w:r>
        <w:rPr>
          <w:rFonts w:ascii="Calibri" w:hAnsi="Calibri"/>
          <w:sz w:val="20"/>
        </w:rPr>
        <w:t>Drept la acordarea mijloacelor au instituţiile de instrucţie şi şi educaţie elementară și medie din teritoriul P.A. Voivodina, al căror fondator este Republica Serbia, Provincia Autonomă sau unitatea autoguvernării locale (în continuare: beneficiarii).</w:t>
      </w:r>
    </w:p>
    <w:p w:rsidR="00FE656B" w:rsidRPr="00FE656B" w:rsidRDefault="00FE656B" w:rsidP="00FE656B">
      <w:pPr>
        <w:ind w:right="-64" w:firstLine="450"/>
        <w:jc w:val="both"/>
        <w:rPr>
          <w:rFonts w:ascii="Calibri" w:hAnsi="Calibri" w:cs="Arial"/>
          <w:sz w:val="20"/>
          <w:szCs w:val="20"/>
        </w:rPr>
      </w:pPr>
      <w:r>
        <w:rPr>
          <w:rFonts w:ascii="Calibri" w:hAnsi="Calibri"/>
          <w:sz w:val="20"/>
          <w:szCs w:val="20"/>
        </w:rPr>
        <w:t>Mijloacele menționate sunt destinate pentru finanţarea şi cofinanţarea programelor şi proiectelor prin care se promovează şi îmbunătăţeşte siguranţa elevilor în şcolile elementare şi medii de pe teritoriul P.A. Voivodina, în special pentru finanțarea și cofinanțarea:</w:t>
      </w:r>
    </w:p>
    <w:p w:rsidR="00FE656B" w:rsidRPr="00FE656B" w:rsidRDefault="00FE656B" w:rsidP="00FE656B">
      <w:pPr>
        <w:pStyle w:val="ListParagraph"/>
        <w:numPr>
          <w:ilvl w:val="0"/>
          <w:numId w:val="17"/>
        </w:numPr>
        <w:autoSpaceDE w:val="0"/>
        <w:autoSpaceDN w:val="0"/>
        <w:adjustRightInd w:val="0"/>
        <w:ind w:left="0" w:right="-64" w:firstLine="450"/>
        <w:jc w:val="both"/>
        <w:rPr>
          <w:rFonts w:ascii="Calibri" w:hAnsi="Calibri" w:cs="Arial"/>
          <w:sz w:val="20"/>
          <w:szCs w:val="20"/>
        </w:rPr>
      </w:pPr>
      <w:r>
        <w:rPr>
          <w:rFonts w:ascii="Calibri" w:hAnsi="Calibri"/>
          <w:sz w:val="20"/>
          <w:szCs w:val="20"/>
        </w:rPr>
        <w:t>proiectelor/programelor care influențează asupra creşterii cunoștințelor și abilităților la copii și tineri cu privire la protecția împotriva abuzului de substanțe psihoactive, protecția împotriva violenței, abuzului și neglijenței și a altor forme de comportament riscant, ateliere practice școlare și rețele externe de protecție (elevi , profesori, părinți și membri ai rețelei externe de siguranță);</w:t>
      </w:r>
    </w:p>
    <w:p w:rsidR="00FE656B" w:rsidRPr="00FE656B" w:rsidRDefault="00FE656B" w:rsidP="00FE656B">
      <w:pPr>
        <w:pStyle w:val="ListParagraph"/>
        <w:numPr>
          <w:ilvl w:val="0"/>
          <w:numId w:val="17"/>
        </w:numPr>
        <w:autoSpaceDE w:val="0"/>
        <w:autoSpaceDN w:val="0"/>
        <w:adjustRightInd w:val="0"/>
        <w:ind w:left="0" w:right="-64" w:firstLine="450"/>
        <w:jc w:val="both"/>
        <w:rPr>
          <w:rFonts w:ascii="Calibri" w:hAnsi="Calibri" w:cs="Arial"/>
          <w:sz w:val="20"/>
          <w:szCs w:val="20"/>
        </w:rPr>
      </w:pPr>
      <w:r>
        <w:rPr>
          <w:rFonts w:ascii="Calibri" w:hAnsi="Calibri"/>
          <w:sz w:val="20"/>
          <w:szCs w:val="20"/>
        </w:rPr>
        <w:t>proiectelor/programelor care contribuie la creșterea cunoștințelor și abilităților profesorilor și părinților în domeniul protecției copiilor împotriva abuzului de substanțe psihoactive, protecției împotriva violenței, abuzului și neglijenței și a altor forme de comportament riscant, inclusiv proiecte de schimb de exemple de bune practici în domeniul îmbunătățirii siguranței elevilor (părinți, profesori și reţeau externă de siguranță);</w:t>
      </w:r>
    </w:p>
    <w:p w:rsidR="00FE656B" w:rsidRDefault="00FE656B" w:rsidP="0055552E">
      <w:pPr>
        <w:spacing w:before="120" w:after="120"/>
        <w:ind w:right="181"/>
        <w:jc w:val="center"/>
        <w:outlineLvl w:val="0"/>
        <w:rPr>
          <w:rFonts w:ascii="Calibri" w:hAnsi="Calibri"/>
          <w:b/>
          <w:sz w:val="20"/>
          <w:szCs w:val="20"/>
        </w:rPr>
      </w:pPr>
    </w:p>
    <w:p w:rsidR="0055552E" w:rsidRPr="0055552E" w:rsidRDefault="0055552E" w:rsidP="0055552E">
      <w:pPr>
        <w:spacing w:before="120" w:after="120"/>
        <w:ind w:right="181"/>
        <w:jc w:val="center"/>
        <w:outlineLvl w:val="0"/>
        <w:rPr>
          <w:rFonts w:ascii="Calibri" w:hAnsi="Calibri"/>
          <w:b/>
          <w:sz w:val="20"/>
          <w:szCs w:val="20"/>
        </w:rPr>
      </w:pPr>
      <w:r>
        <w:rPr>
          <w:rFonts w:ascii="Calibri" w:hAnsi="Calibri"/>
          <w:b/>
          <w:sz w:val="20"/>
          <w:szCs w:val="20"/>
        </w:rPr>
        <w:t>CRITERIILE PENTRU ACORDAREA MIJLOACELOR</w:t>
      </w:r>
    </w:p>
    <w:p w:rsidR="0055552E" w:rsidRDefault="0055552E" w:rsidP="0055552E">
      <w:pPr>
        <w:ind w:right="180" w:firstLine="567"/>
        <w:jc w:val="both"/>
        <w:rPr>
          <w:rFonts w:ascii="Calibri" w:hAnsi="Calibri"/>
          <w:sz w:val="20"/>
          <w:szCs w:val="20"/>
        </w:rPr>
      </w:pPr>
      <w:r>
        <w:rPr>
          <w:rFonts w:ascii="Calibri" w:hAnsi="Calibri"/>
          <w:sz w:val="20"/>
          <w:szCs w:val="20"/>
        </w:rPr>
        <w:t>Cu prilejul stabilirii nivelului de mijloace pentru repartizare, se aplică următoarele criterii:</w:t>
      </w:r>
    </w:p>
    <w:p w:rsidR="00FE656B" w:rsidRDefault="00FE656B" w:rsidP="0055552E">
      <w:pPr>
        <w:ind w:right="180" w:firstLine="567"/>
        <w:jc w:val="both"/>
        <w:rPr>
          <w:rFonts w:ascii="Calibri" w:hAnsi="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tblGrid>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adjustRightInd w:val="0"/>
              <w:jc w:val="center"/>
              <w:rPr>
                <w:rFonts w:ascii="Calibri" w:eastAsia="Calibri" w:hAnsi="Calibri" w:cs="Calibri"/>
                <w:sz w:val="20"/>
                <w:szCs w:val="20"/>
              </w:rPr>
            </w:pPr>
            <w:r>
              <w:rPr>
                <w:rFonts w:ascii="Calibri" w:hAnsi="Calibri"/>
                <w:sz w:val="20"/>
                <w:szCs w:val="20"/>
              </w:rPr>
              <w:t>1</w:t>
            </w:r>
          </w:p>
        </w:tc>
        <w:tc>
          <w:tcPr>
            <w:tcW w:w="6211"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adjustRightInd w:val="0"/>
              <w:rPr>
                <w:rFonts w:ascii="Calibri" w:eastAsia="Calibri" w:hAnsi="Calibri" w:cs="Calibri"/>
                <w:sz w:val="20"/>
                <w:szCs w:val="20"/>
              </w:rPr>
            </w:pPr>
            <w:r>
              <w:rPr>
                <w:rFonts w:ascii="Calibri" w:hAnsi="Calibri"/>
                <w:sz w:val="20"/>
                <w:szCs w:val="20"/>
              </w:rPr>
              <w:t>gradul de implicare a rețelei externe de protecție în activitățile de program;</w:t>
            </w:r>
          </w:p>
        </w:tc>
      </w:tr>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adjustRightInd w:val="0"/>
              <w:jc w:val="center"/>
              <w:rPr>
                <w:rFonts w:ascii="Calibri" w:eastAsia="Calibri" w:hAnsi="Calibri" w:cs="Calibri"/>
                <w:sz w:val="20"/>
                <w:szCs w:val="20"/>
              </w:rPr>
            </w:pPr>
            <w:r>
              <w:rPr>
                <w:rFonts w:ascii="Calibri" w:hAnsi="Calibri"/>
                <w:sz w:val="20"/>
                <w:szCs w:val="20"/>
              </w:rPr>
              <w:t>2</w:t>
            </w:r>
          </w:p>
        </w:tc>
        <w:tc>
          <w:tcPr>
            <w:tcW w:w="6211"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adjustRightInd w:val="0"/>
              <w:rPr>
                <w:rFonts w:ascii="Calibri" w:eastAsia="Calibri" w:hAnsi="Calibri" w:cs="Calibri"/>
                <w:sz w:val="20"/>
                <w:szCs w:val="20"/>
              </w:rPr>
            </w:pPr>
            <w:r>
              <w:rPr>
                <w:rFonts w:ascii="Calibri" w:hAnsi="Calibri"/>
                <w:sz w:val="20"/>
                <w:szCs w:val="20"/>
              </w:rPr>
              <w:t>gradul de includere a grupului ţintă (elevilor şi părinţilor), căruia îi este destinat programul/proiectul;</w:t>
            </w:r>
          </w:p>
        </w:tc>
      </w:tr>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jc w:val="center"/>
              <w:rPr>
                <w:rFonts w:ascii="Calibri" w:hAnsi="Calibri" w:cs="Calibri"/>
                <w:sz w:val="20"/>
                <w:szCs w:val="20"/>
              </w:rPr>
            </w:pPr>
            <w:r>
              <w:rPr>
                <w:rFonts w:ascii="Calibri" w:hAnsi="Calibri"/>
                <w:sz w:val="20"/>
                <w:szCs w:val="20"/>
              </w:rPr>
              <w:t>3</w:t>
            </w:r>
          </w:p>
        </w:tc>
        <w:tc>
          <w:tcPr>
            <w:tcW w:w="6211" w:type="dxa"/>
            <w:tcBorders>
              <w:top w:val="single" w:sz="4" w:space="0" w:color="auto"/>
              <w:left w:val="single" w:sz="4" w:space="0" w:color="auto"/>
              <w:bottom w:val="single" w:sz="4" w:space="0" w:color="auto"/>
              <w:right w:val="single" w:sz="4" w:space="0" w:color="auto"/>
            </w:tcBorders>
            <w:hideMark/>
          </w:tcPr>
          <w:p w:rsidR="00FE656B" w:rsidRPr="00FE656B" w:rsidRDefault="00FE656B" w:rsidP="00FE656B">
            <w:pPr>
              <w:widowControl w:val="0"/>
              <w:autoSpaceDE w:val="0"/>
              <w:autoSpaceDN w:val="0"/>
              <w:rPr>
                <w:rFonts w:ascii="Calibri" w:eastAsia="Calibri" w:hAnsi="Calibri" w:cs="Calibri"/>
                <w:sz w:val="20"/>
                <w:szCs w:val="20"/>
              </w:rPr>
            </w:pPr>
            <w:r>
              <w:rPr>
                <w:rFonts w:ascii="Calibri" w:hAnsi="Calibri"/>
                <w:sz w:val="20"/>
                <w:szCs w:val="20"/>
              </w:rPr>
              <w:t>experienţa de până în prezent la realizarea programelor/proiectelor care contribuie la îmbunătăţirea activităţii instructiv-educative;</w:t>
            </w:r>
          </w:p>
        </w:tc>
      </w:tr>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jc w:val="center"/>
              <w:rPr>
                <w:rFonts w:ascii="Calibri" w:eastAsia="Calibri" w:hAnsi="Calibri" w:cs="Calibri"/>
                <w:sz w:val="20"/>
                <w:szCs w:val="20"/>
              </w:rPr>
            </w:pPr>
            <w:r>
              <w:rPr>
                <w:rFonts w:ascii="Calibri" w:hAnsi="Calibri"/>
                <w:sz w:val="20"/>
                <w:szCs w:val="20"/>
              </w:rPr>
              <w:lastRenderedPageBreak/>
              <w:t>4</w:t>
            </w:r>
          </w:p>
        </w:tc>
        <w:tc>
          <w:tcPr>
            <w:tcW w:w="6211"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rPr>
                <w:rFonts w:ascii="Calibri" w:eastAsia="Calibri" w:hAnsi="Calibri" w:cs="Calibri"/>
                <w:sz w:val="20"/>
                <w:szCs w:val="20"/>
              </w:rPr>
            </w:pPr>
            <w:r>
              <w:rPr>
                <w:rFonts w:ascii="Calibri" w:hAnsi="Calibri"/>
                <w:sz w:val="20"/>
                <w:szCs w:val="20"/>
              </w:rPr>
              <w:t xml:space="preserve">gradul de dezvoltare a unității autoguvernării locale în teritoriul căreia se află instituția; </w:t>
            </w:r>
          </w:p>
        </w:tc>
      </w:tr>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jc w:val="center"/>
              <w:rPr>
                <w:rFonts w:ascii="Calibri" w:eastAsia="Calibri" w:hAnsi="Calibri" w:cs="Calibri"/>
                <w:sz w:val="20"/>
                <w:szCs w:val="20"/>
              </w:rPr>
            </w:pPr>
            <w:r>
              <w:rPr>
                <w:rFonts w:ascii="Calibri" w:hAnsi="Calibri"/>
                <w:sz w:val="20"/>
                <w:szCs w:val="20"/>
              </w:rPr>
              <w:t>5</w:t>
            </w:r>
          </w:p>
        </w:tc>
        <w:tc>
          <w:tcPr>
            <w:tcW w:w="6211"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rPr>
                <w:rFonts w:ascii="Calibri" w:eastAsia="Calibri" w:hAnsi="Calibri" w:cs="Calibri"/>
                <w:sz w:val="20"/>
                <w:szCs w:val="20"/>
              </w:rPr>
            </w:pPr>
            <w:r>
              <w:rPr>
                <w:rFonts w:ascii="Calibri" w:hAnsi="Calibri"/>
                <w:sz w:val="20"/>
                <w:szCs w:val="20"/>
              </w:rPr>
              <w:t>existenţa altor surse de finanţare a activităţilor de program, respectiv a proiectelor,</w:t>
            </w:r>
          </w:p>
        </w:tc>
      </w:tr>
      <w:tr w:rsidR="00FE656B" w:rsidRPr="00FE656B" w:rsidTr="001C6D21">
        <w:trPr>
          <w:jc w:val="center"/>
        </w:trPr>
        <w:tc>
          <w:tcPr>
            <w:tcW w:w="985"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jc w:val="center"/>
              <w:rPr>
                <w:rFonts w:ascii="Calibri" w:eastAsia="Calibri" w:hAnsi="Calibri" w:cs="Calibri"/>
                <w:sz w:val="20"/>
                <w:szCs w:val="20"/>
              </w:rPr>
            </w:pPr>
            <w:r>
              <w:rPr>
                <w:rFonts w:ascii="Calibri" w:hAnsi="Calibri"/>
                <w:sz w:val="20"/>
                <w:szCs w:val="20"/>
              </w:rPr>
              <w:t>6</w:t>
            </w:r>
          </w:p>
        </w:tc>
        <w:tc>
          <w:tcPr>
            <w:tcW w:w="6211" w:type="dxa"/>
            <w:tcBorders>
              <w:top w:val="single" w:sz="4" w:space="0" w:color="auto"/>
              <w:left w:val="single" w:sz="4" w:space="0" w:color="auto"/>
              <w:bottom w:val="single" w:sz="4" w:space="0" w:color="auto"/>
              <w:right w:val="single" w:sz="4" w:space="0" w:color="auto"/>
            </w:tcBorders>
          </w:tcPr>
          <w:p w:rsidR="00FE656B" w:rsidRPr="00FE656B" w:rsidRDefault="00FE656B" w:rsidP="00FE656B">
            <w:pPr>
              <w:widowControl w:val="0"/>
              <w:autoSpaceDE w:val="0"/>
              <w:autoSpaceDN w:val="0"/>
              <w:rPr>
                <w:rFonts w:ascii="Calibri" w:eastAsia="Calibri" w:hAnsi="Calibri" w:cs="Calibri"/>
                <w:sz w:val="20"/>
                <w:szCs w:val="20"/>
              </w:rPr>
            </w:pPr>
            <w:r>
              <w:rPr>
                <w:rFonts w:ascii="Calibri" w:hAnsi="Calibri"/>
                <w:sz w:val="20"/>
                <w:szCs w:val="20"/>
              </w:rPr>
              <w:t xml:space="preserve">realizarea cu succes a mijloacelor acordate din bugetul P.A. Voivodina în anii precedenţi şi remiterea raportului şi dovezilor privind cheltuirea mijloacelor bugetare în mod legal şi conform destinaţiei; </w:t>
            </w:r>
          </w:p>
        </w:tc>
      </w:tr>
    </w:tbl>
    <w:p w:rsidR="00FE656B" w:rsidRDefault="00FE656B" w:rsidP="0055552E">
      <w:pPr>
        <w:ind w:right="180" w:firstLine="567"/>
        <w:jc w:val="both"/>
        <w:rPr>
          <w:rFonts w:ascii="Calibri" w:hAnsi="Calibri"/>
          <w:sz w:val="20"/>
          <w:szCs w:val="20"/>
        </w:rPr>
      </w:pPr>
    </w:p>
    <w:p w:rsidR="003C4044" w:rsidRDefault="003C4044" w:rsidP="0055552E">
      <w:pPr>
        <w:ind w:right="180" w:firstLine="567"/>
        <w:jc w:val="both"/>
        <w:rPr>
          <w:rFonts w:ascii="Calibri" w:hAnsi="Calibri"/>
          <w:sz w:val="20"/>
          <w:szCs w:val="20"/>
        </w:rPr>
      </w:pPr>
    </w:p>
    <w:p w:rsidR="0055552E" w:rsidRPr="0055552E" w:rsidRDefault="0055552E" w:rsidP="000A672D">
      <w:pPr>
        <w:ind w:left="567"/>
        <w:contextualSpacing/>
        <w:jc w:val="both"/>
        <w:rPr>
          <w:rFonts w:ascii="Calibri" w:hAnsi="Calibri"/>
          <w:sz w:val="20"/>
          <w:szCs w:val="20"/>
          <w:u w:val="single"/>
        </w:rPr>
      </w:pPr>
    </w:p>
    <w:p w:rsidR="0055552E" w:rsidRPr="0055552E" w:rsidRDefault="0055552E" w:rsidP="0055552E">
      <w:pPr>
        <w:spacing w:before="120" w:after="120"/>
        <w:ind w:right="181"/>
        <w:jc w:val="center"/>
        <w:rPr>
          <w:rFonts w:ascii="Calibri" w:hAnsi="Calibri"/>
          <w:b/>
          <w:sz w:val="20"/>
          <w:szCs w:val="20"/>
        </w:rPr>
      </w:pPr>
      <w:r>
        <w:rPr>
          <w:rFonts w:ascii="Calibri" w:hAnsi="Calibri"/>
          <w:b/>
          <w:sz w:val="20"/>
          <w:szCs w:val="20"/>
        </w:rPr>
        <w:t>MODUL DE APLICARE</w:t>
      </w:r>
    </w:p>
    <w:p w:rsidR="00AC3E3B" w:rsidRPr="00FE656B" w:rsidRDefault="00AC3E3B" w:rsidP="0055552E">
      <w:pPr>
        <w:spacing w:before="60"/>
        <w:ind w:firstLine="708"/>
        <w:jc w:val="both"/>
        <w:rPr>
          <w:rFonts w:asciiTheme="majorHAnsi" w:hAnsiTheme="majorHAnsi" w:cstheme="majorHAnsi"/>
          <w:sz w:val="20"/>
          <w:szCs w:val="20"/>
          <w:lang w:val="ru-RU"/>
        </w:rPr>
      </w:pPr>
    </w:p>
    <w:p w:rsidR="00342DDD" w:rsidRDefault="00FE656B" w:rsidP="00342DDD">
      <w:pPr>
        <w:spacing w:before="60"/>
        <w:ind w:firstLine="567"/>
        <w:jc w:val="both"/>
        <w:rPr>
          <w:rFonts w:asciiTheme="majorHAnsi" w:hAnsiTheme="majorHAnsi" w:cstheme="majorHAnsi"/>
          <w:b/>
          <w:sz w:val="20"/>
          <w:szCs w:val="20"/>
          <w:u w:val="single"/>
        </w:rPr>
      </w:pPr>
      <w:r>
        <w:rPr>
          <w:rFonts w:asciiTheme="majorHAnsi" w:hAnsiTheme="majorHAnsi"/>
          <w:sz w:val="20"/>
          <w:szCs w:val="20"/>
        </w:rPr>
        <w:t xml:space="preserve">Cererile pentru repartizarea mijloacelor se prezintă pe formularul unic de concurs al Secretariatului, care se poate prelua pe pagina Web oficială a Secretariatului: </w:t>
      </w:r>
      <w:hyperlink r:id="rId6" w:history="1">
        <w:r>
          <w:rPr>
            <w:rStyle w:val="Hyperlink"/>
            <w:rFonts w:asciiTheme="majorHAnsi" w:hAnsiTheme="majorHAnsi"/>
            <w:b/>
            <w:sz w:val="20"/>
            <w:szCs w:val="20"/>
          </w:rPr>
          <w:t>www.puma.vojvodina.gov.rs</w:t>
        </w:r>
      </w:hyperlink>
      <w:r>
        <w:rPr>
          <w:rFonts w:asciiTheme="majorHAnsi" w:hAnsiTheme="majorHAnsi"/>
          <w:b/>
          <w:sz w:val="20"/>
          <w:szCs w:val="20"/>
          <w:u w:val="single"/>
        </w:rPr>
        <w:t xml:space="preserve"> .</w:t>
      </w:r>
    </w:p>
    <w:p w:rsidR="00FE656B" w:rsidRDefault="00FE656B" w:rsidP="00FE656B">
      <w:pPr>
        <w:spacing w:after="60"/>
        <w:ind w:right="181" w:firstLine="567"/>
        <w:jc w:val="both"/>
        <w:rPr>
          <w:rFonts w:ascii="Calibri" w:hAnsi="Calibri"/>
          <w:sz w:val="20"/>
          <w:szCs w:val="20"/>
        </w:rPr>
      </w:pPr>
      <w:r>
        <w:rPr>
          <w:rFonts w:ascii="Calibri" w:hAnsi="Calibri"/>
          <w:b/>
          <w:sz w:val="20"/>
          <w:szCs w:val="20"/>
        </w:rPr>
        <w:t>O persoană juridică poate să prezinte cel mult două cereri.</w:t>
      </w:r>
    </w:p>
    <w:p w:rsidR="00FE656B" w:rsidRDefault="00FE656B" w:rsidP="00FE656B">
      <w:pPr>
        <w:tabs>
          <w:tab w:val="left" w:pos="810"/>
        </w:tabs>
        <w:spacing w:before="60"/>
        <w:contextualSpacing/>
        <w:jc w:val="both"/>
        <w:rPr>
          <w:rFonts w:ascii="Calibri" w:hAnsi="Calibri"/>
          <w:sz w:val="20"/>
          <w:szCs w:val="20"/>
        </w:rPr>
      </w:pPr>
      <w:r>
        <w:rPr>
          <w:rFonts w:ascii="Calibri" w:hAnsi="Calibri"/>
          <w:sz w:val="20"/>
          <w:szCs w:val="20"/>
        </w:rPr>
        <w:t xml:space="preserve">            Comisia nu va examina: </w:t>
      </w:r>
      <w:bookmarkStart w:id="1" w:name="_GoBack"/>
      <w:r w:rsidRPr="00D31165">
        <w:rPr>
          <w:rFonts w:ascii="Calibri" w:hAnsi="Calibri"/>
          <w:sz w:val="20"/>
          <w:szCs w:val="20"/>
        </w:rPr>
        <w:t>cererile incomplete, cererile care nu au sosit în termenul prevăzut, cererile nepermise (cererile prezentate de către persoanele care nu sunt autorizate și a subiecților care nu sunt prevăzuți prin concurs), cererile care nu se referă la destinațiile prevăzute prin concurs, cererile care se referă la achiziţia de echipament sau la întreţinerea echipamentului care este în funcţia realizării proiectului, cererile beneficiarilor care în anul precedent nu și-au justificat mijloacele acordate prin rapoartele financiare și narative, cererile beneficiarilor care n-au remis în termenul prevăzut raportul narativ/financiar privind realizarea programelor/proiectelor din anul precedent, programele respectiv proiectele care nu pot preponderent să se realizeze în cursul anului bugetar curent.</w:t>
      </w:r>
      <w:bookmarkEnd w:id="1"/>
    </w:p>
    <w:p w:rsidR="00FE656B" w:rsidRPr="00AC3E3B" w:rsidRDefault="00FE656B" w:rsidP="00FE656B">
      <w:pPr>
        <w:spacing w:before="120" w:after="120"/>
        <w:jc w:val="both"/>
        <w:rPr>
          <w:rFonts w:asciiTheme="majorHAnsi" w:hAnsiTheme="majorHAnsi" w:cstheme="majorHAnsi"/>
          <w:sz w:val="20"/>
          <w:szCs w:val="20"/>
        </w:rPr>
      </w:pPr>
      <w:r>
        <w:rPr>
          <w:rFonts w:asciiTheme="majorHAnsi" w:hAnsiTheme="majorHAnsi"/>
          <w:b/>
          <w:sz w:val="20"/>
          <w:szCs w:val="20"/>
        </w:rPr>
        <w:t xml:space="preserve">          </w:t>
      </w:r>
      <w:r>
        <w:rPr>
          <w:rFonts w:asciiTheme="majorHAnsi" w:hAnsiTheme="majorHAnsi"/>
          <w:sz w:val="20"/>
          <w:szCs w:val="20"/>
        </w:rPr>
        <w:t xml:space="preserve">Cu privire la repartizarea mijloacelor beneficiarilor decide secretarul provincial competent pentru activităţi de învăţământ la propunerea Comisiei pentru desfăşurarea concursului, care examinează cererile sosite. Secretariatul îşi rezervă dreptul de a solicita semnatarului cererii, după necesitate, documentaţie şi informaţii suplimentare, respectiv de a stabili îndeplinirea condiţiilor necesare pentru repartizarea mijloacelor. </w:t>
      </w:r>
    </w:p>
    <w:p w:rsidR="00FE656B" w:rsidRPr="00AC3E3B" w:rsidRDefault="00FE656B" w:rsidP="00FE656B">
      <w:pPr>
        <w:spacing w:before="120" w:after="120"/>
        <w:ind w:firstLine="567"/>
        <w:jc w:val="both"/>
        <w:rPr>
          <w:rFonts w:asciiTheme="majorHAnsi" w:hAnsiTheme="majorHAnsi" w:cstheme="majorHAnsi"/>
          <w:sz w:val="20"/>
          <w:szCs w:val="20"/>
        </w:rPr>
      </w:pPr>
      <w:r>
        <w:rPr>
          <w:rFonts w:asciiTheme="majorHAnsi" w:hAnsiTheme="majorHAnsi"/>
          <w:sz w:val="20"/>
          <w:szCs w:val="20"/>
        </w:rPr>
        <w:t xml:space="preserve">În cazul în care cererea este semnată de o persoană autorizată, este necesar să se anexeze autorizația semnată corect pentru semnare. </w:t>
      </w:r>
    </w:p>
    <w:p w:rsidR="00FE656B" w:rsidRPr="00AC3E3B" w:rsidRDefault="00FE656B" w:rsidP="00FE656B">
      <w:pPr>
        <w:spacing w:before="120" w:after="120"/>
        <w:ind w:firstLine="567"/>
        <w:jc w:val="both"/>
        <w:rPr>
          <w:rFonts w:asciiTheme="majorHAnsi" w:hAnsiTheme="majorHAnsi" w:cstheme="majorHAnsi"/>
          <w:sz w:val="20"/>
          <w:szCs w:val="20"/>
        </w:rPr>
      </w:pPr>
      <w:r>
        <w:rPr>
          <w:rFonts w:asciiTheme="majorHAnsi" w:hAnsiTheme="majorHAnsi"/>
          <w:sz w:val="20"/>
          <w:szCs w:val="20"/>
        </w:rPr>
        <w:t>Rezultatele concursului se publică pe pagina de internet a Secretariatului.</w:t>
      </w:r>
    </w:p>
    <w:p w:rsidR="00FE656B" w:rsidRPr="00AC3E3B" w:rsidRDefault="00FE656B" w:rsidP="00FE656B">
      <w:pPr>
        <w:ind w:left="-180" w:right="180" w:firstLine="747"/>
        <w:jc w:val="both"/>
        <w:rPr>
          <w:rFonts w:asciiTheme="majorHAnsi" w:hAnsiTheme="majorHAnsi" w:cstheme="majorHAnsi"/>
          <w:b/>
          <w:sz w:val="20"/>
          <w:szCs w:val="20"/>
          <w:u w:val="single"/>
          <w:lang w:val="sr-Latn-RS"/>
        </w:rPr>
      </w:pPr>
    </w:p>
    <w:p w:rsidR="00FE656B" w:rsidRDefault="00FE656B" w:rsidP="00FE656B">
      <w:pPr>
        <w:ind w:left="-180" w:right="180" w:firstLine="747"/>
        <w:jc w:val="both"/>
        <w:rPr>
          <w:rFonts w:asciiTheme="majorHAnsi" w:hAnsiTheme="majorHAnsi" w:cstheme="majorHAnsi"/>
          <w:b/>
          <w:sz w:val="20"/>
          <w:szCs w:val="20"/>
          <w:u w:val="single"/>
        </w:rPr>
      </w:pPr>
      <w:r>
        <w:rPr>
          <w:rFonts w:asciiTheme="majorHAnsi" w:hAnsiTheme="majorHAnsi"/>
          <w:b/>
          <w:sz w:val="20"/>
          <w:szCs w:val="20"/>
          <w:u w:val="single"/>
        </w:rPr>
        <w:t>Termenul de prezentare a cererilor la concurs este 14 martie 2025</w:t>
      </w:r>
    </w:p>
    <w:p w:rsidR="00342DDD" w:rsidRDefault="00342DDD" w:rsidP="00342DDD">
      <w:pPr>
        <w:spacing w:before="60"/>
        <w:ind w:firstLine="540"/>
        <w:jc w:val="both"/>
        <w:rPr>
          <w:rFonts w:asciiTheme="majorHAnsi" w:hAnsiTheme="majorHAnsi" w:cstheme="majorHAnsi"/>
          <w:b/>
          <w:sz w:val="20"/>
          <w:szCs w:val="20"/>
        </w:rPr>
      </w:pPr>
      <w:r>
        <w:rPr>
          <w:rFonts w:asciiTheme="majorHAnsi" w:hAnsiTheme="majorHAnsi"/>
          <w:b/>
          <w:sz w:val="20"/>
          <w:szCs w:val="20"/>
        </w:rPr>
        <w:t xml:space="preserve">Informații suplimentare referitoare la realizarea Concursului, se pot obţine la numărul de telefon 021/ 487-4452. </w:t>
      </w:r>
    </w:p>
    <w:p w:rsidR="00342DDD" w:rsidRPr="00AC3E3B" w:rsidRDefault="00342DDD" w:rsidP="00FE656B">
      <w:pPr>
        <w:ind w:left="-180" w:right="180" w:firstLine="747"/>
        <w:jc w:val="both"/>
        <w:rPr>
          <w:rFonts w:asciiTheme="majorHAnsi" w:hAnsiTheme="majorHAnsi" w:cstheme="majorHAnsi"/>
          <w:b/>
          <w:sz w:val="20"/>
          <w:szCs w:val="20"/>
          <w:u w:val="single"/>
        </w:rPr>
      </w:pPr>
    </w:p>
    <w:p w:rsidR="00FE656B" w:rsidRPr="00AC3E3B" w:rsidRDefault="00FE656B" w:rsidP="00FE656B">
      <w:pPr>
        <w:ind w:left="-180" w:right="180" w:firstLine="747"/>
        <w:jc w:val="both"/>
        <w:rPr>
          <w:rFonts w:asciiTheme="majorHAnsi" w:hAnsiTheme="majorHAnsi" w:cstheme="majorHAnsi"/>
          <w:b/>
          <w:sz w:val="20"/>
          <w:szCs w:val="20"/>
          <w:u w:val="single"/>
        </w:rPr>
      </w:pPr>
    </w:p>
    <w:p w:rsidR="00FE656B" w:rsidRPr="00AC3E3B" w:rsidRDefault="00FE656B" w:rsidP="00FE656B">
      <w:pPr>
        <w:jc w:val="both"/>
        <w:rPr>
          <w:rFonts w:asciiTheme="majorHAnsi" w:hAnsiTheme="majorHAnsi" w:cstheme="majorHAnsi"/>
          <w:sz w:val="20"/>
          <w:szCs w:val="20"/>
        </w:rPr>
      </w:pPr>
      <w:r>
        <w:rPr>
          <w:rFonts w:asciiTheme="majorHAnsi" w:hAnsiTheme="majorHAnsi"/>
          <w:sz w:val="20"/>
          <w:szCs w:val="20"/>
        </w:rPr>
        <w:t xml:space="preserve">Cererile la concurs (în exclusivitate pe formularul cererii, care se află pe site-ul Secretariatului Provincial) se trimit în </w:t>
      </w:r>
      <w:r>
        <w:rPr>
          <w:rFonts w:asciiTheme="majorHAnsi" w:hAnsiTheme="majorHAnsi"/>
          <w:sz w:val="20"/>
          <w:szCs w:val="20"/>
          <w:u w:val="single"/>
        </w:rPr>
        <w:t>formă tipărită</w:t>
      </w:r>
      <w:r>
        <w:rPr>
          <w:rFonts w:asciiTheme="majorHAnsi" w:hAnsiTheme="majorHAnsi"/>
          <w:sz w:val="20"/>
          <w:szCs w:val="20"/>
        </w:rPr>
        <w:t xml:space="preserve">, în plic închis, pe adresa: </w:t>
      </w:r>
    </w:p>
    <w:p w:rsidR="00FE656B" w:rsidRPr="00AC3E3B" w:rsidRDefault="00FE656B" w:rsidP="00FE656B">
      <w:pPr>
        <w:ind w:left="720"/>
        <w:jc w:val="both"/>
        <w:rPr>
          <w:rFonts w:asciiTheme="majorHAnsi" w:hAnsiTheme="majorHAnsi" w:cstheme="majorHAnsi"/>
          <w:sz w:val="20"/>
          <w:szCs w:val="20"/>
        </w:rPr>
      </w:pPr>
    </w:p>
    <w:p w:rsidR="00FE656B" w:rsidRPr="00AC3E3B" w:rsidRDefault="00FE656B" w:rsidP="00FE656B">
      <w:pPr>
        <w:jc w:val="both"/>
        <w:rPr>
          <w:rFonts w:asciiTheme="majorHAnsi" w:eastAsia="Calibri" w:hAnsiTheme="majorHAnsi" w:cstheme="majorHAnsi"/>
          <w:sz w:val="20"/>
          <w:szCs w:val="20"/>
        </w:rPr>
      </w:pPr>
      <w:r>
        <w:rPr>
          <w:rFonts w:asciiTheme="majorHAnsi" w:hAnsiTheme="majorHAnsi"/>
          <w:b/>
          <w:sz w:val="20"/>
          <w:szCs w:val="20"/>
        </w:rPr>
        <w:t>SECRETARIATUL PROVINCIAL PENTRU EDUCAȚIE, REGLEMENTĂRI, ADMINISTRAȚIE ȘI MINORITĂȚILE NAȚIONALE - COMUNITĂȚILE NAȚIONALE, BULEVAR MIHAJLA PUPINA 16, 21000 NOVI SAD</w:t>
      </w:r>
      <w:r>
        <w:rPr>
          <w:rFonts w:asciiTheme="majorHAnsi" w:hAnsiTheme="majorHAnsi"/>
          <w:sz w:val="20"/>
          <w:szCs w:val="20"/>
        </w:rPr>
        <w:t xml:space="preserve">, cu mențiunea denumirii concursului/programului și proiectului, </w:t>
      </w:r>
      <w:r>
        <w:rPr>
          <w:rFonts w:asciiTheme="majorHAnsi" w:hAnsiTheme="majorHAnsi"/>
          <w:sz w:val="20"/>
          <w:szCs w:val="20"/>
          <w:u w:val="single"/>
        </w:rPr>
        <w:t>prin poștă sau se depune personal</w:t>
      </w:r>
      <w:r>
        <w:rPr>
          <w:rFonts w:asciiTheme="majorHAnsi" w:hAnsiTheme="majorHAnsi"/>
          <w:sz w:val="20"/>
          <w:szCs w:val="20"/>
        </w:rPr>
        <w:t xml:space="preserve"> la registratura organelor provinciale ale administrației (la adresa menționată) între orele 9,00 și 14,00. </w:t>
      </w:r>
    </w:p>
    <w:p w:rsidR="00FE656B" w:rsidRPr="00AC3E3B" w:rsidRDefault="00FE656B" w:rsidP="00FE656B">
      <w:pPr>
        <w:ind w:left="-180" w:right="180" w:firstLine="747"/>
        <w:jc w:val="both"/>
        <w:rPr>
          <w:rFonts w:asciiTheme="majorHAnsi" w:hAnsiTheme="majorHAnsi" w:cstheme="majorHAnsi"/>
          <w:b/>
          <w:color w:val="00B0F0"/>
          <w:sz w:val="20"/>
          <w:szCs w:val="20"/>
          <w:u w:val="single"/>
        </w:rPr>
      </w:pPr>
    </w:p>
    <w:p w:rsidR="00FE656B" w:rsidRPr="00AC3E3B" w:rsidRDefault="00FE656B" w:rsidP="00FE656B">
      <w:pPr>
        <w:spacing w:before="60"/>
        <w:ind w:firstLine="567"/>
        <w:jc w:val="both"/>
        <w:rPr>
          <w:rFonts w:asciiTheme="majorHAnsi" w:hAnsiTheme="majorHAnsi" w:cstheme="majorHAnsi"/>
          <w:b/>
          <w:sz w:val="20"/>
          <w:szCs w:val="20"/>
          <w:u w:val="single"/>
        </w:rPr>
      </w:pPr>
      <w:r>
        <w:rPr>
          <w:rFonts w:asciiTheme="majorHAnsi" w:hAnsiTheme="majorHAnsi"/>
          <w:sz w:val="20"/>
          <w:szCs w:val="20"/>
        </w:rPr>
        <w:t xml:space="preserve">Formularul cererii pentru concursurile menționate, cu anexele, se poate prelua începând cu </w:t>
      </w:r>
      <w:r>
        <w:rPr>
          <w:rFonts w:asciiTheme="majorHAnsi" w:hAnsiTheme="majorHAnsi"/>
          <w:b/>
          <w:sz w:val="20"/>
          <w:szCs w:val="20"/>
          <w:u w:val="single"/>
        </w:rPr>
        <w:t>12 februarie 2025</w:t>
      </w:r>
      <w:r>
        <w:rPr>
          <w:rFonts w:asciiTheme="majorHAnsi" w:hAnsiTheme="majorHAnsi"/>
          <w:sz w:val="20"/>
          <w:szCs w:val="20"/>
        </w:rPr>
        <w:t xml:space="preserve"> pe pagina WEB oficială a Secretariatului: </w:t>
      </w:r>
      <w:hyperlink r:id="rId7" w:history="1">
        <w:r>
          <w:rPr>
            <w:rStyle w:val="Hyperlink"/>
            <w:rFonts w:asciiTheme="majorHAnsi" w:hAnsiTheme="majorHAnsi"/>
            <w:b/>
            <w:sz w:val="20"/>
            <w:szCs w:val="20"/>
          </w:rPr>
          <w:t>www.puma.vojvodina.gov.rs</w:t>
        </w:r>
      </w:hyperlink>
      <w:r>
        <w:rPr>
          <w:rFonts w:asciiTheme="majorHAnsi" w:hAnsiTheme="majorHAnsi"/>
          <w:b/>
          <w:sz w:val="20"/>
          <w:szCs w:val="20"/>
          <w:u w:val="single"/>
        </w:rPr>
        <w:t xml:space="preserve"> .</w:t>
      </w:r>
    </w:p>
    <w:p w:rsidR="00FE656B" w:rsidRPr="00AC3E3B" w:rsidRDefault="00FE656B" w:rsidP="00FE656B">
      <w:pPr>
        <w:jc w:val="both"/>
        <w:rPr>
          <w:rFonts w:asciiTheme="majorHAnsi" w:eastAsia="Calibri" w:hAnsiTheme="majorHAnsi" w:cstheme="majorHAnsi"/>
          <w:b/>
          <w:sz w:val="20"/>
          <w:szCs w:val="20"/>
        </w:rPr>
      </w:pPr>
      <w:r>
        <w:rPr>
          <w:rFonts w:asciiTheme="majorHAnsi" w:hAnsiTheme="majorHAnsi"/>
          <w:b/>
          <w:sz w:val="20"/>
          <w:szCs w:val="20"/>
        </w:rPr>
        <w:t xml:space="preserve">                                                                                                                                                                                                                                                                                                                                                                                                                                  </w:t>
      </w:r>
    </w:p>
    <w:p w:rsidR="00FE656B" w:rsidRPr="00AC3E3B" w:rsidRDefault="00FE656B" w:rsidP="00FE656B">
      <w:pPr>
        <w:tabs>
          <w:tab w:val="center" w:pos="7200"/>
        </w:tabs>
        <w:rPr>
          <w:rFonts w:asciiTheme="majorHAnsi" w:eastAsia="Calibri" w:hAnsiTheme="majorHAnsi" w:cstheme="majorHAnsi"/>
          <w:b/>
          <w:sz w:val="20"/>
          <w:szCs w:val="20"/>
        </w:rPr>
      </w:pPr>
      <w:r>
        <w:rPr>
          <w:rFonts w:asciiTheme="majorHAnsi" w:hAnsiTheme="majorHAnsi"/>
          <w:sz w:val="20"/>
          <w:szCs w:val="20"/>
        </w:rPr>
        <w:tab/>
      </w:r>
      <w:r>
        <w:rPr>
          <w:rFonts w:asciiTheme="majorHAnsi" w:hAnsiTheme="majorHAnsi"/>
          <w:b/>
          <w:sz w:val="20"/>
          <w:szCs w:val="20"/>
        </w:rPr>
        <w:t>                   SECRETAR PROVINCIAL</w:t>
      </w:r>
    </w:p>
    <w:p w:rsidR="00FE656B" w:rsidRPr="00AC3E3B" w:rsidRDefault="00FE656B" w:rsidP="00FE656B">
      <w:pPr>
        <w:ind w:left="5760" w:firstLine="720"/>
        <w:jc w:val="center"/>
        <w:rPr>
          <w:rFonts w:asciiTheme="majorHAnsi" w:eastAsia="Calibri" w:hAnsiTheme="majorHAnsi" w:cstheme="majorHAnsi"/>
          <w:b/>
          <w:sz w:val="20"/>
          <w:szCs w:val="20"/>
        </w:rPr>
      </w:pPr>
      <w:r>
        <w:rPr>
          <w:rFonts w:asciiTheme="majorHAnsi" w:hAnsiTheme="majorHAnsi"/>
          <w:sz w:val="20"/>
          <w:szCs w:val="20"/>
        </w:rPr>
        <w:t>Róbert Ótott</w:t>
      </w:r>
    </w:p>
    <w:p w:rsidR="00664892" w:rsidRPr="00AC3E3B" w:rsidRDefault="00664892" w:rsidP="00FE656B">
      <w:pPr>
        <w:shd w:val="clear" w:color="auto" w:fill="FFFFFF"/>
        <w:ind w:firstLine="284"/>
        <w:jc w:val="both"/>
        <w:rPr>
          <w:rFonts w:asciiTheme="majorHAnsi" w:eastAsia="Calibri" w:hAnsiTheme="majorHAnsi" w:cstheme="majorHAnsi"/>
          <w:b/>
          <w:sz w:val="20"/>
          <w:szCs w:val="20"/>
        </w:rPr>
      </w:pPr>
    </w:p>
    <w:sectPr w:rsidR="00664892" w:rsidRPr="00AC3E3B">
      <w:pgSz w:w="11906" w:h="16838"/>
      <w:pgMar w:top="992" w:right="1440" w:bottom="964" w:left="1440" w:header="72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DE763B6"/>
    <w:multiLevelType w:val="hybridMultilevel"/>
    <w:tmpl w:val="CC58C7DC"/>
    <w:lvl w:ilvl="0" w:tplc="DB2A9ABC">
      <w:start w:val="1"/>
      <w:numFmt w:val="decimal"/>
      <w:lvlText w:val="%1."/>
      <w:lvlJc w:val="left"/>
      <w:pPr>
        <w:ind w:left="540" w:hanging="360"/>
      </w:pPr>
      <w:rPr>
        <w:b/>
      </w:rPr>
    </w:lvl>
    <w:lvl w:ilvl="1" w:tplc="98EC068E">
      <w:start w:val="2"/>
      <w:numFmt w:val="bullet"/>
      <w:lvlText w:val="-"/>
      <w:lvlJc w:val="left"/>
      <w:pPr>
        <w:ind w:left="1440" w:hanging="360"/>
      </w:pPr>
      <w:rPr>
        <w:rFonts w:ascii="Calibri" w:eastAsia="Times New Roman" w:hAnsi="Calibri"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66A27"/>
    <w:multiLevelType w:val="hybridMultilevel"/>
    <w:tmpl w:val="42F05D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2D146F9"/>
    <w:multiLevelType w:val="hybridMultilevel"/>
    <w:tmpl w:val="F77011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2A749CB"/>
    <w:multiLevelType w:val="multilevel"/>
    <w:tmpl w:val="76366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595FB9"/>
    <w:multiLevelType w:val="hybridMultilevel"/>
    <w:tmpl w:val="24DA0552"/>
    <w:lvl w:ilvl="0" w:tplc="726CFCC2">
      <w:start w:val="1"/>
      <w:numFmt w:val="decimal"/>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31D33"/>
    <w:multiLevelType w:val="multilevel"/>
    <w:tmpl w:val="D312FD9C"/>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0"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3450989"/>
    <w:multiLevelType w:val="hybridMultilevel"/>
    <w:tmpl w:val="E0EEA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746417"/>
    <w:multiLevelType w:val="hybridMultilevel"/>
    <w:tmpl w:val="0E9255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F2E0736"/>
    <w:multiLevelType w:val="multilevel"/>
    <w:tmpl w:val="9EACA606"/>
    <w:lvl w:ilvl="0">
      <w:start w:val="1"/>
      <w:numFmt w:val="decimal"/>
      <w:lvlText w:val="%1)"/>
      <w:lvlJc w:val="left"/>
      <w:pPr>
        <w:ind w:left="720" w:hanging="372"/>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5" w15:restartNumberingAfterBreak="0">
    <w:nsid w:val="7F2E5863"/>
    <w:multiLevelType w:val="hybridMultilevel"/>
    <w:tmpl w:val="6E2C2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4"/>
  </w:num>
  <w:num w:numId="3">
    <w:abstractNumId w:val="8"/>
  </w:num>
  <w:num w:numId="4">
    <w:abstractNumId w:val="5"/>
  </w:num>
  <w:num w:numId="5">
    <w:abstractNumId w:val="9"/>
  </w:num>
  <w:num w:numId="6">
    <w:abstractNumId w:val="1"/>
  </w:num>
  <w:num w:numId="7">
    <w:abstractNumId w:val="10"/>
  </w:num>
  <w:num w:numId="8">
    <w:abstractNumId w:val="0"/>
  </w:num>
  <w:num w:numId="9">
    <w:abstractNumId w:val="7"/>
  </w:num>
  <w:num w:numId="10">
    <w:abstractNumId w:val="2"/>
  </w:num>
  <w:num w:numId="11">
    <w:abstractNumId w:val="15"/>
  </w:num>
  <w:num w:numId="12">
    <w:abstractNumId w:val="3"/>
  </w:num>
  <w:num w:numId="13">
    <w:abstractNumId w:val="13"/>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92"/>
    <w:rsid w:val="0008750A"/>
    <w:rsid w:val="000A672D"/>
    <w:rsid w:val="000C4ECD"/>
    <w:rsid w:val="00232CD9"/>
    <w:rsid w:val="00342DDD"/>
    <w:rsid w:val="003C4044"/>
    <w:rsid w:val="003F14A8"/>
    <w:rsid w:val="004004E9"/>
    <w:rsid w:val="0055552E"/>
    <w:rsid w:val="00621288"/>
    <w:rsid w:val="00664892"/>
    <w:rsid w:val="006B086E"/>
    <w:rsid w:val="00703587"/>
    <w:rsid w:val="008F529A"/>
    <w:rsid w:val="00955C75"/>
    <w:rsid w:val="00AC3E3B"/>
    <w:rsid w:val="00AF4FDC"/>
    <w:rsid w:val="00B24F9D"/>
    <w:rsid w:val="00BF311D"/>
    <w:rsid w:val="00CA2FD3"/>
    <w:rsid w:val="00D31165"/>
    <w:rsid w:val="00D55636"/>
    <w:rsid w:val="00D83DAF"/>
    <w:rsid w:val="00D84747"/>
    <w:rsid w:val="00F53905"/>
    <w:rsid w:val="00FB7595"/>
    <w:rsid w:val="00F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921EC-37C4-488B-817F-8DEA6E67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ro-R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004E9"/>
    <w:pPr>
      <w:ind w:left="720"/>
      <w:contextualSpacing/>
    </w:pPr>
  </w:style>
  <w:style w:type="paragraph" w:styleId="BodyText">
    <w:name w:val="Body Text"/>
    <w:basedOn w:val="Normal"/>
    <w:link w:val="BodyTextChar"/>
    <w:uiPriority w:val="99"/>
    <w:semiHidden/>
    <w:unhideWhenUsed/>
    <w:rsid w:val="000C4ECD"/>
    <w:pPr>
      <w:jc w:val="both"/>
    </w:pPr>
    <w:rPr>
      <w:rFonts w:eastAsia="Calibri"/>
      <w:szCs w:val="20"/>
    </w:rPr>
  </w:style>
  <w:style w:type="character" w:customStyle="1" w:styleId="BodyTextChar">
    <w:name w:val="Body Text Char"/>
    <w:basedOn w:val="DefaultParagraphFont"/>
    <w:link w:val="BodyText"/>
    <w:uiPriority w:val="99"/>
    <w:semiHidden/>
    <w:rsid w:val="000C4ECD"/>
    <w:rPr>
      <w:rFonts w:eastAsia="Calibri"/>
      <w:szCs w:val="20"/>
    </w:rPr>
  </w:style>
  <w:style w:type="character" w:styleId="Hyperlink">
    <w:name w:val="Hyperlink"/>
    <w:basedOn w:val="DefaultParagraphFont"/>
    <w:uiPriority w:val="99"/>
    <w:semiHidden/>
    <w:unhideWhenUsed/>
    <w:rsid w:val="00AC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3776">
      <w:bodyDiv w:val="1"/>
      <w:marLeft w:val="0"/>
      <w:marRight w:val="0"/>
      <w:marTop w:val="0"/>
      <w:marBottom w:val="0"/>
      <w:divBdr>
        <w:top w:val="none" w:sz="0" w:space="0" w:color="auto"/>
        <w:left w:val="none" w:sz="0" w:space="0" w:color="auto"/>
        <w:bottom w:val="none" w:sz="0" w:space="0" w:color="auto"/>
        <w:right w:val="none" w:sz="0" w:space="0" w:color="auto"/>
      </w:divBdr>
    </w:div>
    <w:div w:id="121000593">
      <w:bodyDiv w:val="1"/>
      <w:marLeft w:val="0"/>
      <w:marRight w:val="0"/>
      <w:marTop w:val="0"/>
      <w:marBottom w:val="0"/>
      <w:divBdr>
        <w:top w:val="none" w:sz="0" w:space="0" w:color="auto"/>
        <w:left w:val="none" w:sz="0" w:space="0" w:color="auto"/>
        <w:bottom w:val="none" w:sz="0" w:space="0" w:color="auto"/>
        <w:right w:val="none" w:sz="0" w:space="0" w:color="auto"/>
      </w:divBdr>
    </w:div>
    <w:div w:id="357463398">
      <w:bodyDiv w:val="1"/>
      <w:marLeft w:val="0"/>
      <w:marRight w:val="0"/>
      <w:marTop w:val="0"/>
      <w:marBottom w:val="0"/>
      <w:divBdr>
        <w:top w:val="none" w:sz="0" w:space="0" w:color="auto"/>
        <w:left w:val="none" w:sz="0" w:space="0" w:color="auto"/>
        <w:bottom w:val="none" w:sz="0" w:space="0" w:color="auto"/>
        <w:right w:val="none" w:sz="0" w:space="0" w:color="auto"/>
      </w:divBdr>
    </w:div>
    <w:div w:id="357779657">
      <w:bodyDiv w:val="1"/>
      <w:marLeft w:val="0"/>
      <w:marRight w:val="0"/>
      <w:marTop w:val="0"/>
      <w:marBottom w:val="0"/>
      <w:divBdr>
        <w:top w:val="none" w:sz="0" w:space="0" w:color="auto"/>
        <w:left w:val="none" w:sz="0" w:space="0" w:color="auto"/>
        <w:bottom w:val="none" w:sz="0" w:space="0" w:color="auto"/>
        <w:right w:val="none" w:sz="0" w:space="0" w:color="auto"/>
      </w:divBdr>
    </w:div>
    <w:div w:id="391585572">
      <w:bodyDiv w:val="1"/>
      <w:marLeft w:val="0"/>
      <w:marRight w:val="0"/>
      <w:marTop w:val="0"/>
      <w:marBottom w:val="0"/>
      <w:divBdr>
        <w:top w:val="none" w:sz="0" w:space="0" w:color="auto"/>
        <w:left w:val="none" w:sz="0" w:space="0" w:color="auto"/>
        <w:bottom w:val="none" w:sz="0" w:space="0" w:color="auto"/>
        <w:right w:val="none" w:sz="0" w:space="0" w:color="auto"/>
      </w:divBdr>
    </w:div>
    <w:div w:id="508175417">
      <w:bodyDiv w:val="1"/>
      <w:marLeft w:val="0"/>
      <w:marRight w:val="0"/>
      <w:marTop w:val="0"/>
      <w:marBottom w:val="0"/>
      <w:divBdr>
        <w:top w:val="none" w:sz="0" w:space="0" w:color="auto"/>
        <w:left w:val="none" w:sz="0" w:space="0" w:color="auto"/>
        <w:bottom w:val="none" w:sz="0" w:space="0" w:color="auto"/>
        <w:right w:val="none" w:sz="0" w:space="0" w:color="auto"/>
      </w:divBdr>
    </w:div>
    <w:div w:id="633684646">
      <w:bodyDiv w:val="1"/>
      <w:marLeft w:val="0"/>
      <w:marRight w:val="0"/>
      <w:marTop w:val="0"/>
      <w:marBottom w:val="0"/>
      <w:divBdr>
        <w:top w:val="none" w:sz="0" w:space="0" w:color="auto"/>
        <w:left w:val="none" w:sz="0" w:space="0" w:color="auto"/>
        <w:bottom w:val="none" w:sz="0" w:space="0" w:color="auto"/>
        <w:right w:val="none" w:sz="0" w:space="0" w:color="auto"/>
      </w:divBdr>
    </w:div>
    <w:div w:id="1412584083">
      <w:bodyDiv w:val="1"/>
      <w:marLeft w:val="0"/>
      <w:marRight w:val="0"/>
      <w:marTop w:val="0"/>
      <w:marBottom w:val="0"/>
      <w:divBdr>
        <w:top w:val="none" w:sz="0" w:space="0" w:color="auto"/>
        <w:left w:val="none" w:sz="0" w:space="0" w:color="auto"/>
        <w:bottom w:val="none" w:sz="0" w:space="0" w:color="auto"/>
        <w:right w:val="none" w:sz="0" w:space="0" w:color="auto"/>
      </w:divBdr>
    </w:div>
    <w:div w:id="1832596500">
      <w:bodyDiv w:val="1"/>
      <w:marLeft w:val="0"/>
      <w:marRight w:val="0"/>
      <w:marTop w:val="0"/>
      <w:marBottom w:val="0"/>
      <w:divBdr>
        <w:top w:val="none" w:sz="0" w:space="0" w:color="auto"/>
        <w:left w:val="none" w:sz="0" w:space="0" w:color="auto"/>
        <w:bottom w:val="none" w:sz="0" w:space="0" w:color="auto"/>
        <w:right w:val="none" w:sz="0" w:space="0" w:color="auto"/>
      </w:divBdr>
    </w:div>
    <w:div w:id="1888907801">
      <w:bodyDiv w:val="1"/>
      <w:marLeft w:val="0"/>
      <w:marRight w:val="0"/>
      <w:marTop w:val="0"/>
      <w:marBottom w:val="0"/>
      <w:divBdr>
        <w:top w:val="none" w:sz="0" w:space="0" w:color="auto"/>
        <w:left w:val="none" w:sz="0" w:space="0" w:color="auto"/>
        <w:bottom w:val="none" w:sz="0" w:space="0" w:color="auto"/>
        <w:right w:val="none" w:sz="0" w:space="0" w:color="auto"/>
      </w:divBdr>
    </w:div>
    <w:div w:id="1955012203">
      <w:bodyDiv w:val="1"/>
      <w:marLeft w:val="0"/>
      <w:marRight w:val="0"/>
      <w:marTop w:val="0"/>
      <w:marBottom w:val="0"/>
      <w:divBdr>
        <w:top w:val="none" w:sz="0" w:space="0" w:color="auto"/>
        <w:left w:val="none" w:sz="0" w:space="0" w:color="auto"/>
        <w:bottom w:val="none" w:sz="0" w:space="0" w:color="auto"/>
        <w:right w:val="none" w:sz="0" w:space="0" w:color="auto"/>
      </w:divBdr>
    </w:div>
    <w:div w:id="208853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m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Jovanic</dc:creator>
  <cp:lastModifiedBy>Adrian Čoban</cp:lastModifiedBy>
  <cp:revision>9</cp:revision>
  <dcterms:created xsi:type="dcterms:W3CDTF">2025-02-11T09:02:00Z</dcterms:created>
  <dcterms:modified xsi:type="dcterms:W3CDTF">2025-02-11T12:58:00Z</dcterms:modified>
</cp:coreProperties>
</file>