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18B574C3" w:rsidR="009E6661" w:rsidRPr="00876D33" w:rsidRDefault="00077BF8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6D33">
        <w:rPr>
          <w:rFonts w:ascii="Times New Roman" w:hAnsi="Times New Roman" w:cs="Times New Roman"/>
          <w:sz w:val="24"/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</w:t>
      </w:r>
      <w:r w:rsidR="00A21E10">
        <w:rPr>
          <w:rFonts w:ascii="Times New Roman" w:hAnsi="Times New Roman" w:cs="Times New Roman"/>
          <w:sz w:val="24"/>
          <w:szCs w:val="24"/>
        </w:rPr>
        <w:t>–</w:t>
      </w:r>
      <w:r w:rsidRPr="00876D33">
        <w:rPr>
          <w:rFonts w:ascii="Times New Roman" w:hAnsi="Times New Roman" w:cs="Times New Roman"/>
          <w:sz w:val="24"/>
          <w:szCs w:val="24"/>
        </w:rPr>
        <w:t xml:space="preserve"> más határozat, 37/2016., 29/2017., 24/2019., 66/2020. és 38/2021. szám) 15. és 16. szakaszának, valamint 24. szakaszának 2. bekezdése alapján,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tartományi oktatási, jogalkotási, közigazgatási és nemzeti kisebbségi </w:t>
      </w:r>
      <w:r w:rsidR="00A21E10">
        <w:rPr>
          <w:rFonts w:ascii="Times New Roman" w:hAnsi="Times New Roman" w:cs="Times New Roman"/>
          <w:sz w:val="24"/>
          <w:szCs w:val="24"/>
        </w:rPr>
        <w:t>–</w:t>
      </w:r>
      <w:r w:rsidRPr="00876D33">
        <w:rPr>
          <w:rFonts w:ascii="Times New Roman" w:hAnsi="Times New Roman" w:cs="Times New Roman"/>
          <w:sz w:val="24"/>
          <w:szCs w:val="24"/>
        </w:rPr>
        <w:t xml:space="preserve"> nemzeti közösségi titkár</w:t>
      </w:r>
    </w:p>
    <w:p w14:paraId="2E70C2FF" w14:textId="36F56A68" w:rsidR="002C674B" w:rsidRPr="00876D33" w:rsidRDefault="002C674B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21F8A" w14:textId="4999D146" w:rsidR="009E6661" w:rsidRPr="00876D33" w:rsidRDefault="009E6661" w:rsidP="00876D33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2F51D67A" w14:textId="257A63AD" w:rsidR="00876D33" w:rsidRDefault="00077BF8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D33">
        <w:rPr>
          <w:rFonts w:ascii="Times New Roman" w:hAnsi="Times New Roman" w:cs="Times New Roman"/>
          <w:b/>
          <w:bCs/>
          <w:sz w:val="24"/>
          <w:szCs w:val="24"/>
        </w:rPr>
        <w:t xml:space="preserve">SZABÁLYZATOT </w:t>
      </w:r>
    </w:p>
    <w:p w14:paraId="634EB25F" w14:textId="77777777" w:rsidR="00876D33" w:rsidRDefault="00876D33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2099" w14:textId="5D1DCE23" w:rsidR="00876D33" w:rsidRPr="00876D33" w:rsidRDefault="00077BF8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6D33">
        <w:rPr>
          <w:rFonts w:ascii="Times New Roman" w:hAnsi="Times New Roman" w:cs="Times New Roman"/>
          <w:bCs/>
          <w:sz w:val="24"/>
          <w:szCs w:val="24"/>
        </w:rPr>
        <w:t>hoz</w:t>
      </w:r>
      <w:proofErr w:type="gramEnd"/>
      <w:r w:rsidRPr="00876D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79F692" w14:textId="77777777" w:rsidR="00876D33" w:rsidRDefault="00876D33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0CAE6" w14:textId="06A10B24" w:rsidR="009E6661" w:rsidRPr="00876D33" w:rsidRDefault="00077BF8" w:rsidP="00876D33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D33">
        <w:rPr>
          <w:rFonts w:ascii="Times New Roman" w:hAnsi="Times New Roman" w:cs="Times New Roman"/>
          <w:b/>
          <w:bCs/>
          <w:sz w:val="24"/>
          <w:szCs w:val="24"/>
        </w:rPr>
        <w:t xml:space="preserve">A TARTOMÁNYI OKTATÁSI, JOGALKOTÁSI, KÖZIGAZGATÁSI </w:t>
      </w:r>
      <w:proofErr w:type="gramStart"/>
      <w:r w:rsidRPr="00876D33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876D33">
        <w:rPr>
          <w:rFonts w:ascii="Times New Roman" w:hAnsi="Times New Roman" w:cs="Times New Roman"/>
          <w:b/>
          <w:bCs/>
          <w:sz w:val="24"/>
          <w:szCs w:val="24"/>
        </w:rPr>
        <w:t xml:space="preserve"> NEMZETI KISEBBSÉGI </w:t>
      </w:r>
      <w:r w:rsidR="00A21E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76D33">
        <w:rPr>
          <w:rFonts w:ascii="Times New Roman" w:hAnsi="Times New Roman" w:cs="Times New Roman"/>
          <w:b/>
          <w:bCs/>
          <w:sz w:val="24"/>
          <w:szCs w:val="24"/>
        </w:rPr>
        <w:t xml:space="preserve"> NEMZETI KÖZÖSSÉGI TITKÁRSÁG KÖLTSÉGVETÉSI ESZKÖZEINEK AZ ALAP- ÉS KÖZÉPFOKÚ OKTATÁS SZÍNVONALÁNAK EMELÉSÉT CÉLZÓ – A VAJDASÁG AUTONÓM TARTOMÁNY TERÜLETÉN MŰKÖDŐ ÁLTALÁNOS ÉS KÖZÉPISKOLÁK DIÁKJAINAK BIZTONSÁGÁT NÉPSZERŰSÍTŐ ÉS ELŐMOZDÍTÓ – PROGRAMOK ÉS PROJEKTEK 2025. ÉVI FINANSZÍROZÁSÁRA ÉS TÁRSFINANSZÍROZÁSÁRA VALÓ ODAÍTÉLÉSÉRŐL</w:t>
      </w:r>
    </w:p>
    <w:p w14:paraId="55A3E48D" w14:textId="1D4B2D9B" w:rsidR="00044583" w:rsidRPr="00876D33" w:rsidRDefault="00044583" w:rsidP="00876D33">
      <w:pPr>
        <w:ind w:right="-18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E557C" w14:textId="70F5216B" w:rsidR="009E6661" w:rsidRPr="00876D33" w:rsidRDefault="009E6661" w:rsidP="00876D33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D68FD" w14:textId="070FF2AC" w:rsidR="00EE0144" w:rsidRDefault="00EE0144" w:rsidP="00876D33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Általános rendelkezések</w:t>
      </w:r>
    </w:p>
    <w:p w14:paraId="09DD5A13" w14:textId="77777777" w:rsidR="00876D33" w:rsidRPr="00876D33" w:rsidRDefault="00876D33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26A43" w14:textId="3CD4271D" w:rsidR="009E6661" w:rsidRPr="00876D33" w:rsidRDefault="00077BF8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1. szakasz</w:t>
      </w:r>
    </w:p>
    <w:p w14:paraId="60135BB0" w14:textId="77777777" w:rsidR="009E6661" w:rsidRPr="00876D33" w:rsidRDefault="009E6661" w:rsidP="00876D33">
      <w:pPr>
        <w:pStyle w:val="BodyTex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1B1567D" w14:textId="08396706" w:rsidR="009E6661" w:rsidRPr="00876D33" w:rsidRDefault="00077BF8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Jelen szabályzat szabályozza az alap- és középfokú oktatás színvonalának emelését célzó – a Vajdaság Autonóm Tartomány területén működő általános és középiskolák diákjainak biztonságát népszerűsítő és előmozdító – programok és projektek 2025. évi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finanszírozására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és társfinanszírozására irányuló költségvetési eszközök (a továbbiakban: eszközök) odaítélésének módját, feltételeit és mércéit, éspedig a Vajdaság Autonóm Tartomány költségvetéséről szóló rendeletben a Tartományi Oktatási, Jogalkotási, Közigazgatási és Nemzeti Kisebbségi – Nemzeti Közösségi Titkárság (a továbbiakban: Tartományi Titkárság) külön rovatrendje alatt jóváhagyott </w:t>
      </w:r>
      <w:proofErr w:type="spellStart"/>
      <w:r w:rsidRPr="00876D33">
        <w:rPr>
          <w:rFonts w:ascii="Times New Roman" w:hAnsi="Times New Roman" w:cs="Times New Roman"/>
          <w:sz w:val="24"/>
          <w:szCs w:val="24"/>
        </w:rPr>
        <w:t>appropriációkkal</w:t>
      </w:r>
      <w:proofErr w:type="spellEnd"/>
      <w:r w:rsidRPr="00876D33">
        <w:rPr>
          <w:rFonts w:ascii="Times New Roman" w:hAnsi="Times New Roman" w:cs="Times New Roman"/>
          <w:sz w:val="24"/>
          <w:szCs w:val="24"/>
        </w:rPr>
        <w:t xml:space="preserve"> összhangban.</w:t>
      </w:r>
    </w:p>
    <w:p w14:paraId="7644BB43" w14:textId="7F13FD40" w:rsidR="007C6B91" w:rsidRPr="00876D33" w:rsidRDefault="007C6B91" w:rsidP="00876D33">
      <w:pPr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jelen szabályzatban valamennyi nyelvtani hímnemben használt kifejezés felöleli az adott személyre vonatkozó hím- és nőnemet.</w:t>
      </w:r>
    </w:p>
    <w:p w14:paraId="14202947" w14:textId="77777777" w:rsidR="002C674B" w:rsidRPr="00876D33" w:rsidRDefault="002C674B" w:rsidP="00876D33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3EA8F" w14:textId="0BD5371D" w:rsidR="00EE0144" w:rsidRDefault="00FC54EA" w:rsidP="00876D33">
      <w:pPr>
        <w:pStyle w:val="BodyText"/>
        <w:spacing w:line="232" w:lineRule="auto"/>
        <w:ind w:left="12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Az eszközök keretösszege és odaítélésük módja</w:t>
      </w:r>
    </w:p>
    <w:p w14:paraId="0DB00D75" w14:textId="77777777" w:rsidR="00876D33" w:rsidRPr="00876D33" w:rsidRDefault="00876D33" w:rsidP="00876D33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F0EDF" w14:textId="3256F9FB" w:rsidR="00FC54EA" w:rsidRPr="00876D33" w:rsidRDefault="00FC54EA" w:rsidP="00876D33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2. szakasz</w:t>
      </w:r>
    </w:p>
    <w:p w14:paraId="4DC0CDD3" w14:textId="77777777" w:rsidR="00FC54EA" w:rsidRPr="00876D33" w:rsidRDefault="00FC54EA" w:rsidP="00876D33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1B164" w14:textId="5B4F3872" w:rsidR="00044583" w:rsidRPr="00A21E10" w:rsidRDefault="00FC54EA" w:rsidP="00876D33">
      <w:pPr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10">
        <w:rPr>
          <w:rFonts w:ascii="Times New Roman" w:hAnsi="Times New Roman" w:cs="Times New Roman"/>
          <w:sz w:val="24"/>
          <w:szCs w:val="24"/>
        </w:rPr>
        <w:t xml:space="preserve">A tevékenységek megvalósítására összesen 5.000.000,00 </w:t>
      </w:r>
      <w:r w:rsidRPr="00A21E10">
        <w:rPr>
          <w:rFonts w:ascii="Times New Roman" w:hAnsi="Times New Roman" w:cs="Times New Roman"/>
          <w:bCs/>
          <w:sz w:val="24"/>
          <w:szCs w:val="24"/>
        </w:rPr>
        <w:t>dinár</w:t>
      </w:r>
      <w:r w:rsidRPr="00A21E10">
        <w:rPr>
          <w:rFonts w:ascii="Times New Roman" w:hAnsi="Times New Roman" w:cs="Times New Roman"/>
          <w:sz w:val="24"/>
          <w:szCs w:val="24"/>
        </w:rPr>
        <w:t xml:space="preserve"> </w:t>
      </w:r>
      <w:r w:rsidRPr="00A21E10">
        <w:rPr>
          <w:rFonts w:ascii="Times New Roman" w:hAnsi="Times New Roman" w:cs="Times New Roman"/>
          <w:bCs/>
          <w:sz w:val="24"/>
          <w:szCs w:val="24"/>
        </w:rPr>
        <w:t>kerül elkülönítésre, ebből 3.500.000,00 dinár az általános iskolák és 1.500.000,00 dinár a középiskolák számára.</w:t>
      </w:r>
      <w:r w:rsidRPr="00A2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9C155" w14:textId="6A809AD7" w:rsidR="002C674B" w:rsidRPr="00876D33" w:rsidRDefault="00FC54EA" w:rsidP="00876D33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jelen szakasz 1. bekezdésében foglalt eszközöket pályázat útján kell odaítélni, amelyet közzé kell tenni Vajdaság Autonóm Tartomány Hivatalos Lapjában, a Titkárság hivatalos honlapján, valamint a pályázatról szóló tájékoztatást és a honlap címét </w:t>
      </w:r>
      <w:r w:rsidR="00A21E10" w:rsidRPr="00876D33">
        <w:rPr>
          <w:rFonts w:ascii="Times New Roman" w:hAnsi="Times New Roman" w:cs="Times New Roman"/>
          <w:sz w:val="24"/>
          <w:szCs w:val="24"/>
        </w:rPr>
        <w:t>–</w:t>
      </w:r>
      <w:r w:rsidRPr="00876D33">
        <w:rPr>
          <w:rFonts w:ascii="Times New Roman" w:hAnsi="Times New Roman" w:cs="Times New Roman"/>
          <w:sz w:val="24"/>
          <w:szCs w:val="24"/>
        </w:rPr>
        <w:t xml:space="preserve">, ahol a pályázat elérhető </w:t>
      </w:r>
      <w:r w:rsidR="00A21E10">
        <w:rPr>
          <w:rFonts w:ascii="Times New Roman" w:hAnsi="Times New Roman" w:cs="Times New Roman"/>
          <w:sz w:val="24"/>
          <w:szCs w:val="24"/>
        </w:rPr>
        <w:t>–</w:t>
      </w:r>
      <w:r w:rsidRPr="00876D33">
        <w:rPr>
          <w:rFonts w:ascii="Times New Roman" w:hAnsi="Times New Roman" w:cs="Times New Roman"/>
          <w:sz w:val="24"/>
          <w:szCs w:val="24"/>
        </w:rPr>
        <w:t xml:space="preserve"> a Szerb Köztársaság teljes területén terjesztett napilapok legalább egyikében is meg kell jelentetni.</w:t>
      </w:r>
    </w:p>
    <w:p w14:paraId="026AD464" w14:textId="007ED8AE" w:rsidR="002C674B" w:rsidRPr="00876D33" w:rsidRDefault="002C674B" w:rsidP="00876D3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lastRenderedPageBreak/>
        <w:t xml:space="preserve">A pályázat, valamint a pályázatról és a pályázatot </w:t>
      </w:r>
      <w:proofErr w:type="spellStart"/>
      <w:r w:rsidRPr="00876D33">
        <w:rPr>
          <w:rFonts w:ascii="Times New Roman" w:hAnsi="Times New Roman" w:cs="Times New Roman"/>
          <w:sz w:val="24"/>
          <w:szCs w:val="24"/>
        </w:rPr>
        <w:t>közzétevő</w:t>
      </w:r>
      <w:proofErr w:type="spellEnd"/>
      <w:r w:rsidRPr="00876D33">
        <w:rPr>
          <w:rFonts w:ascii="Times New Roman" w:hAnsi="Times New Roman" w:cs="Times New Roman"/>
          <w:sz w:val="24"/>
          <w:szCs w:val="24"/>
        </w:rPr>
        <w:t xml:space="preserve"> honlapról szóló tájékoztatás Vajdaság AT szerveinek munkájában hivatalos használatban lévő nemzeti kisebbségi – nemzeti közösségi nyelveken is </w:t>
      </w:r>
      <w:proofErr w:type="spellStart"/>
      <w:r w:rsidRPr="00876D33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876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43E21" w14:textId="7ADF4D69" w:rsidR="00FC54EA" w:rsidRPr="00876D33" w:rsidRDefault="00FC54EA" w:rsidP="00876D33">
      <w:pPr>
        <w:pStyle w:val="BodyText"/>
        <w:spacing w:line="228" w:lineRule="auto"/>
        <w:ind w:left="113"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pályázat tartalmazza a pályázati kiírás alapját képező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elnevezését, a pályázat alapján odaítélésre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51292400" w14:textId="065D3B3A" w:rsidR="00FC54EA" w:rsidRPr="00876D33" w:rsidRDefault="00FC54EA" w:rsidP="00876D33">
      <w:pPr>
        <w:widowControl/>
        <w:tabs>
          <w:tab w:val="left" w:pos="0"/>
        </w:tabs>
        <w:autoSpaceDE/>
        <w:autoSpaceDN/>
        <w:ind w:right="120"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pályázatra benyújtott dokumentációt a Titkárság nem küldi vissza. </w:t>
      </w:r>
    </w:p>
    <w:p w14:paraId="2FA7D7BA" w14:textId="360104A4" w:rsidR="002C674B" w:rsidRPr="00876D33" w:rsidRDefault="002C674B" w:rsidP="00876D33">
      <w:pPr>
        <w:pStyle w:val="BodyText"/>
        <w:ind w:right="1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3E51" w14:textId="601BD7D3" w:rsidR="00EE0144" w:rsidRDefault="00EE0144" w:rsidP="00876D33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Az eszközök odaítélésére jogosultak</w:t>
      </w:r>
    </w:p>
    <w:p w14:paraId="2733A819" w14:textId="77777777" w:rsidR="00876D33" w:rsidRPr="00876D33" w:rsidRDefault="00876D33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28A28" w14:textId="7653B81A" w:rsidR="00EE0144" w:rsidRPr="00876D33" w:rsidRDefault="00EE0144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3. szakasz</w:t>
      </w:r>
    </w:p>
    <w:p w14:paraId="1D1B0D7B" w14:textId="77777777" w:rsidR="00EE0144" w:rsidRPr="00876D33" w:rsidRDefault="00EE0144" w:rsidP="00876D33">
      <w:pPr>
        <w:pStyle w:val="BodyText"/>
        <w:spacing w:before="9"/>
        <w:ind w:firstLine="720"/>
        <w:rPr>
          <w:rFonts w:ascii="Times New Roman" w:hAnsi="Times New Roman" w:cs="Times New Roman"/>
          <w:sz w:val="24"/>
          <w:szCs w:val="24"/>
        </w:rPr>
      </w:pPr>
    </w:p>
    <w:p w14:paraId="497A9478" w14:textId="60F5C8D4" w:rsidR="00075DC7" w:rsidRPr="00876D33" w:rsidRDefault="00EE0144" w:rsidP="00876D33">
      <w:pPr>
        <w:pStyle w:val="BodyText"/>
        <w:ind w:left="216" w:right="19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Az eszközök odaítélésére a Szerb Köztársaság, </w:t>
      </w:r>
      <w:r w:rsidR="00A21E10">
        <w:rPr>
          <w:rFonts w:ascii="Times New Roman" w:hAnsi="Times New Roman" w:cs="Times New Roman"/>
          <w:sz w:val="24"/>
          <w:szCs w:val="24"/>
        </w:rPr>
        <w:t xml:space="preserve">az autonóm tartomány és a helyi </w:t>
      </w:r>
      <w:r w:rsidRPr="00876D33">
        <w:rPr>
          <w:rFonts w:ascii="Times New Roman" w:hAnsi="Times New Roman" w:cs="Times New Roman"/>
          <w:sz w:val="24"/>
          <w:szCs w:val="24"/>
        </w:rPr>
        <w:t>önkormányzat által alapított, Vajdaság Autonóm Tartomány területén működő alap- és középfokú nevelési-oktatási intézmények jogosultak (a továbbiakban: felhasználók).</w:t>
      </w:r>
    </w:p>
    <w:p w14:paraId="58522083" w14:textId="6D1CAEC7" w:rsidR="00075DC7" w:rsidRPr="00876D33" w:rsidRDefault="00075DC7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Az említett eszközök az alap- és középfokú oktatás színvonalának emelését célzó – a Vajdaság Autonóm Tartomány területén működő általános és középiskolák diákjainak biztonságát népszerűsítő és előmozdító – programok és projektek 2025. évi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finanszírozására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és társfinanszírozására irányulnak, de különösen az alábbiakra:</w:t>
      </w:r>
    </w:p>
    <w:p w14:paraId="705333BA" w14:textId="3F1E48CD" w:rsidR="00044583" w:rsidRPr="00876D33" w:rsidRDefault="00044583" w:rsidP="00876D33">
      <w:pPr>
        <w:pStyle w:val="ListParagraph"/>
        <w:widowControl/>
        <w:numPr>
          <w:ilvl w:val="0"/>
          <w:numId w:val="7"/>
        </w:numPr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olyan projektekre/programokra, amelyek a pszichoaktív anyagokkal való visszaélés elleni védelemre, az erőszak, </w:t>
      </w:r>
      <w:r w:rsidR="00DF13A0">
        <w:rPr>
          <w:rFonts w:ascii="Times New Roman" w:hAnsi="Times New Roman" w:cs="Times New Roman"/>
          <w:sz w:val="24"/>
          <w:szCs w:val="24"/>
        </w:rPr>
        <w:t xml:space="preserve">a </w:t>
      </w:r>
      <w:r w:rsidRPr="00876D33">
        <w:rPr>
          <w:rFonts w:ascii="Times New Roman" w:hAnsi="Times New Roman" w:cs="Times New Roman"/>
          <w:sz w:val="24"/>
          <w:szCs w:val="24"/>
        </w:rPr>
        <w:t xml:space="preserve">bántalmazás és </w:t>
      </w:r>
      <w:r w:rsidR="00DF13A0">
        <w:rPr>
          <w:rFonts w:ascii="Times New Roman" w:hAnsi="Times New Roman" w:cs="Times New Roman"/>
          <w:sz w:val="24"/>
          <w:szCs w:val="24"/>
        </w:rPr>
        <w:t xml:space="preserve">az </w:t>
      </w:r>
      <w:r w:rsidRPr="00876D33">
        <w:rPr>
          <w:rFonts w:ascii="Times New Roman" w:hAnsi="Times New Roman" w:cs="Times New Roman"/>
          <w:sz w:val="24"/>
          <w:szCs w:val="24"/>
        </w:rPr>
        <w:t>elhanyagolás megelőzésére, valamint a kockázatos magatartás egyéb formáival kapcsolatos ismeretek és készségek fejlesztésére irányulnak a gyermekek és fiatalok körében, továbbá gyakorlati iskolai műhelyekre és külső védőhálózatokra (diákok, tanárok, szülők és a külső védőháló tagjai),</w:t>
      </w:r>
    </w:p>
    <w:p w14:paraId="42F46067" w14:textId="4B189399" w:rsidR="00044583" w:rsidRPr="00876D33" w:rsidRDefault="00044583" w:rsidP="00876D33">
      <w:pPr>
        <w:pStyle w:val="ListParagraph"/>
        <w:widowControl/>
        <w:numPr>
          <w:ilvl w:val="0"/>
          <w:numId w:val="7"/>
        </w:numPr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olyan projektekre/programokra, amelyek hozzájárulnak a tanárok és szülők ismereteinek és készségeinek bővítéséhez a gyermekek pszichoaktív anyagokkal való visszaélés</w:t>
      </w:r>
      <w:r w:rsidR="00DF13A0">
        <w:rPr>
          <w:rFonts w:ascii="Times New Roman" w:hAnsi="Times New Roman" w:cs="Times New Roman"/>
          <w:sz w:val="24"/>
          <w:szCs w:val="24"/>
        </w:rPr>
        <w:t>sel</w:t>
      </w:r>
      <w:r w:rsidRPr="00876D33">
        <w:rPr>
          <w:rFonts w:ascii="Times New Roman" w:hAnsi="Times New Roman" w:cs="Times New Roman"/>
          <w:sz w:val="24"/>
          <w:szCs w:val="24"/>
        </w:rPr>
        <w:t xml:space="preserve"> </w:t>
      </w:r>
      <w:r w:rsidR="00DF13A0">
        <w:rPr>
          <w:rFonts w:ascii="Times New Roman" w:hAnsi="Times New Roman" w:cs="Times New Roman"/>
          <w:sz w:val="24"/>
          <w:szCs w:val="24"/>
        </w:rPr>
        <w:t>szembeni</w:t>
      </w:r>
      <w:r w:rsidRPr="00876D33">
        <w:rPr>
          <w:rFonts w:ascii="Times New Roman" w:hAnsi="Times New Roman" w:cs="Times New Roman"/>
          <w:sz w:val="24"/>
          <w:szCs w:val="24"/>
        </w:rPr>
        <w:t xml:space="preserve"> védelme, az erőszak, a bántalmazás és az elhanyagolás, valamint a kockázatos viselkedés egyéb formái elleni védelem területén, beleértve a diákok biztonságát elősegítő jó gyakorlatok cseréjére irányuló projekteket is (szülők, tanárok és a külső védőháló bevonásával),</w:t>
      </w:r>
    </w:p>
    <w:p w14:paraId="342336BF" w14:textId="2F9DA0A8" w:rsidR="00044583" w:rsidRPr="00876D33" w:rsidRDefault="00044583" w:rsidP="00876D33">
      <w:pPr>
        <w:pStyle w:val="ListParagraph"/>
        <w:widowControl/>
        <w:numPr>
          <w:ilvl w:val="0"/>
          <w:numId w:val="7"/>
        </w:numPr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olyan projektekre/programokra, amelyek hozzájárulnak a faji, nemzeti, kulturális, nyelvi, vallási, társadalmi, nemi és életkori egyenlőség, a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tolerancia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és a sokszínűség fejlesztéséhez és tiszteletben tartásához.</w:t>
      </w:r>
    </w:p>
    <w:p w14:paraId="006A0A39" w14:textId="77777777" w:rsidR="00044583" w:rsidRPr="00876D33" w:rsidRDefault="00044583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6008E" w14:textId="03C496E2" w:rsidR="00EE0144" w:rsidRDefault="00EE0144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Pályázati jelentkezés</w:t>
      </w:r>
    </w:p>
    <w:p w14:paraId="27DD20BD" w14:textId="77777777" w:rsidR="00876D33" w:rsidRPr="00876D33" w:rsidRDefault="00876D3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BF3BB" w14:textId="4DB381A2" w:rsidR="00EE0144" w:rsidRPr="00876D33" w:rsidRDefault="00EE0144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4. szakasz</w:t>
      </w:r>
    </w:p>
    <w:p w14:paraId="5CE3E46D" w14:textId="77777777" w:rsidR="001A663B" w:rsidRPr="00876D33" w:rsidRDefault="001A663B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76A67" w14:textId="795B305C" w:rsidR="00B94B6F" w:rsidRPr="00876D33" w:rsidRDefault="00B94B6F" w:rsidP="00876D3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pályázati kérelmet írásban, a Titkárság honlapján közzétett egységes űrlapon kell benyújtani, a pályázat közzétételétől számított 30 napnál nem rövidebb határidőn belül.</w:t>
      </w:r>
    </w:p>
    <w:p w14:paraId="15F9B947" w14:textId="77777777" w:rsidR="00B94B6F" w:rsidRPr="00876D33" w:rsidRDefault="00B94B6F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pályázó által benyújtható kérelmek száma nincs korlátozva, kivéve, ha a pályázati kiírás másként rendelkezik.</w:t>
      </w:r>
    </w:p>
    <w:p w14:paraId="5EA92986" w14:textId="3E372225" w:rsidR="009E6661" w:rsidRPr="00876D33" w:rsidRDefault="00077BF8" w:rsidP="00876D33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pályázati kérelemhez csatolandó dokumentációt a Tartományi Titkárság a pályázati kiírásban határozza meg.</w:t>
      </w:r>
    </w:p>
    <w:p w14:paraId="709225D5" w14:textId="009D8E24" w:rsidR="0056120A" w:rsidRPr="00876D33" w:rsidRDefault="0056120A" w:rsidP="00876D3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Titkárság fenntartja a jogot, hogy szükség esetén kiegészítő dokumentációt és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kérjen a pályázótól. Amennyiben a pályázó a hiánypótlásnak 8 napon belül nem tesz eleget, a Titkárság a pályázatot hiányosnak tekinti.</w:t>
      </w:r>
    </w:p>
    <w:p w14:paraId="6446EC83" w14:textId="7F4EC509" w:rsidR="007E3B1F" w:rsidRPr="00876D33" w:rsidRDefault="00F910EA" w:rsidP="00876D33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pályázati kérelmek benyújtására 2025. február 12. és 2025. március 14. között van </w:t>
      </w:r>
      <w:r w:rsidRPr="00876D33">
        <w:rPr>
          <w:rFonts w:ascii="Times New Roman" w:hAnsi="Times New Roman" w:cs="Times New Roman"/>
          <w:sz w:val="24"/>
          <w:szCs w:val="24"/>
        </w:rPr>
        <w:lastRenderedPageBreak/>
        <w:t xml:space="preserve">lehetőség. </w:t>
      </w:r>
    </w:p>
    <w:p w14:paraId="1AAAD4DF" w14:textId="27733A1A" w:rsidR="006E728C" w:rsidRPr="00876D33" w:rsidRDefault="006E728C" w:rsidP="00876D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FABF" w14:textId="0A88CA78" w:rsidR="00EE0144" w:rsidRDefault="00EE0144" w:rsidP="00876D33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Pályázati bizottság</w:t>
      </w:r>
    </w:p>
    <w:p w14:paraId="3CCC1AF6" w14:textId="77777777" w:rsidR="00876D33" w:rsidRPr="00876D33" w:rsidRDefault="00876D33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524AA" w14:textId="436B8BA2" w:rsidR="009E6661" w:rsidRPr="00876D33" w:rsidRDefault="00077BF8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5. szakasz</w:t>
      </w:r>
    </w:p>
    <w:p w14:paraId="0E4C4356" w14:textId="77777777" w:rsidR="006E728C" w:rsidRPr="00876D33" w:rsidRDefault="006E728C" w:rsidP="00876D33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174C6C" w14:textId="11DD15DE" w:rsidR="00F337F1" w:rsidRPr="00876D33" w:rsidRDefault="00077BF8" w:rsidP="00876D33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Az oktatási ügyekért felelős tartományi titkár (a továbbiakban: tartományi titkár) a pályázat lebonyolítása céljából Bizottságot alakít. </w:t>
      </w:r>
    </w:p>
    <w:p w14:paraId="4427DAF3" w14:textId="6E4B6B97" w:rsidR="00F337F1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14:paraId="48076F86" w14:textId="1C4537E3" w:rsidR="00F337F1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14:paraId="604E39F3" w14:textId="09F99196" w:rsidR="00F337F1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Bizottság tagja a pályázattal kapcsolatos első intézkedés foganatosítása előtt aláírja a nyilatkozatot. </w:t>
      </w:r>
    </w:p>
    <w:p w14:paraId="090E6F3A" w14:textId="042AE5D9" w:rsidR="00F337F1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Összeférhetetlenség megállapítása esetén a Bizottság tagja haladéktalanul értesíti a Bizottság többi tagját, és kivonja magát a Bizottság további munkája alól. Az összeférhetetlenségről a Titkárság minden esetben külön dönt, és az összeférhetetlenség megállapítása esetén új, helyettes tagot jelöl ki a Bizottságba.</w:t>
      </w:r>
    </w:p>
    <w:p w14:paraId="55077B75" w14:textId="7D332023" w:rsidR="002C674B" w:rsidRPr="00876D33" w:rsidRDefault="002C674B" w:rsidP="00876D33">
      <w:pPr>
        <w:widowControl/>
        <w:shd w:val="clear" w:color="auto" w:fill="FFFFFF"/>
        <w:autoSpaceDE/>
        <w:autoSpaceDN/>
        <w:spacing w:after="15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73126" w14:textId="3805E3F8" w:rsidR="0016435F" w:rsidRPr="00876D33" w:rsidRDefault="0016435F" w:rsidP="00876D33">
      <w:pPr>
        <w:widowControl/>
        <w:shd w:val="clear" w:color="auto" w:fill="FFFFFF"/>
        <w:autoSpaceDE/>
        <w:autoSpaceDN/>
        <w:spacing w:after="15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6. szakasz</w:t>
      </w:r>
    </w:p>
    <w:p w14:paraId="3E4B8C7E" w14:textId="77777777" w:rsidR="002C674B" w:rsidRPr="00876D33" w:rsidRDefault="002C674B" w:rsidP="00876D33">
      <w:pPr>
        <w:spacing w:line="100" w:lineRule="atLeast"/>
        <w:ind w:left="-284" w:right="-431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kérelmek benyújtásának határidejét követően a Bizottság hozzáfog a kérelmek elbírálásához.</w:t>
      </w:r>
    </w:p>
    <w:p w14:paraId="73598387" w14:textId="77777777" w:rsidR="002C674B" w:rsidRPr="00876D33" w:rsidRDefault="002C674B" w:rsidP="00876D33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Bizottság határozattal elveti a hiányos és szabálytalanul kitöltött kérelmeket, valamint azokat, amelyekben nem töltöttek ki minden kötelező mezőt (a nem kötelező mezők a kérelem űrlapján feltüntetésre kerültek), az aláíratlan vagy nem lepecsételt kérelmeket, illetve a késve benyújtott kérelmeket.</w:t>
      </w:r>
    </w:p>
    <w:p w14:paraId="4C17D65E" w14:textId="77777777" w:rsidR="002C674B" w:rsidRPr="00876D33" w:rsidRDefault="002C674B" w:rsidP="00876D33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Bizottság határozattal elveti a nem engedélyezett kérelmeket, éspedig: </w:t>
      </w:r>
    </w:p>
    <w:p w14:paraId="4987A598" w14:textId="77777777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az illetéktelen személyek, valamint a pályázatban nem előirányzott kérelmezők által benyújtott kérelmeket,</w:t>
      </w:r>
    </w:p>
    <w:p w14:paraId="73E8A310" w14:textId="77777777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azokat a kérelmeket, amelyek nem vonatkoznak a jelen szabályzat 2. szakaszában foglalt pályázati rendeltetésekre,</w:t>
      </w:r>
    </w:p>
    <w:p w14:paraId="3EC49DC4" w14:textId="77777777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felszerelés beszerzésére, beruházásra, illetve a pályázó állandó költségeire és rendes tevékenységére vonatkozó kérelmeket, </w:t>
      </w:r>
    </w:p>
    <w:p w14:paraId="17E532E9" w14:textId="2E3B2C78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azon pályázók kérelmét, akik az előző évben odaítélt eszközök felhasználásáról szóló jelentést nem nyújtották be, vagy akiknél a jelentésből megállapítást nyer</w:t>
      </w:r>
      <w:r w:rsidR="004A5988">
        <w:rPr>
          <w:rFonts w:ascii="Times New Roman" w:hAnsi="Times New Roman" w:cs="Times New Roman"/>
          <w:sz w:val="24"/>
          <w:szCs w:val="24"/>
        </w:rPr>
        <w:t>t</w:t>
      </w:r>
      <w:r w:rsidRPr="00876D33">
        <w:rPr>
          <w:rFonts w:ascii="Times New Roman" w:hAnsi="Times New Roman" w:cs="Times New Roman"/>
          <w:sz w:val="24"/>
          <w:szCs w:val="24"/>
        </w:rPr>
        <w:t>, hogy az eszközöket nem rendeltetésszerűen használták fel, továbbá elvetésre kerülnek azon pályázók kérelmei is, akik a Titkárság előző pályázatai alapján vállalt kötelezettségeiket nem teljesítették, különösen, ha nem küldték el bizonyítékként a megvalósított tevékenységekről készült fényképeket és videókat,</w:t>
      </w:r>
    </w:p>
    <w:p w14:paraId="4EDECBCB" w14:textId="77777777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azon kérelmezők kérelmeit, akik az előző évben megvalósított programokról/projektekről szóló leíró/pénzügyi jelentést az előirányzott határidőben nem küldték meg, </w:t>
      </w:r>
    </w:p>
    <w:p w14:paraId="4219D4DB" w14:textId="77777777" w:rsidR="002C674B" w:rsidRPr="00876D33" w:rsidRDefault="002C674B" w:rsidP="00876D33">
      <w:pPr>
        <w:pStyle w:val="ListParagraph"/>
        <w:widowControl/>
        <w:numPr>
          <w:ilvl w:val="0"/>
          <w:numId w:val="10"/>
        </w:numPr>
        <w:autoSpaceDE/>
        <w:autoSpaceDN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lastRenderedPageBreak/>
        <w:t xml:space="preserve">a projekt megvalósítását célzó felszerelés beszerzésére vagy karbantartására, valamint az egyéb </w:t>
      </w:r>
      <w:proofErr w:type="spellStart"/>
      <w:r w:rsidRPr="00876D33">
        <w:rPr>
          <w:rFonts w:ascii="Times New Roman" w:hAnsi="Times New Roman" w:cs="Times New Roman"/>
          <w:sz w:val="24"/>
          <w:szCs w:val="24"/>
        </w:rPr>
        <w:t>nagyösszegű</w:t>
      </w:r>
      <w:proofErr w:type="spellEnd"/>
      <w:r w:rsidRPr="00876D33">
        <w:rPr>
          <w:rFonts w:ascii="Times New Roman" w:hAnsi="Times New Roman" w:cs="Times New Roman"/>
          <w:sz w:val="24"/>
          <w:szCs w:val="24"/>
        </w:rPr>
        <w:t xml:space="preserve"> kiadásokra vonatkozó kérelmeket.</w:t>
      </w:r>
    </w:p>
    <w:p w14:paraId="74728D0F" w14:textId="66E36216" w:rsidR="001A663B" w:rsidRPr="00876D33" w:rsidRDefault="002C674B" w:rsidP="00876D33">
      <w:pPr>
        <w:pStyle w:val="BodyText"/>
        <w:spacing w:line="230" w:lineRule="auto"/>
        <w:ind w:left="113" w:right="11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kérelmező panasszal élhet a kérelem elutasítására vonatkozó határozattal szemben, éspedig a határozat kézhezvételétől számított 8 napon belül. A Titkárság a panaszra vonatkozó, indokolással ellátott döntését a panasz átvételét követő 15 napon belül hozza meg.</w:t>
      </w:r>
    </w:p>
    <w:p w14:paraId="5EE96CF1" w14:textId="77777777" w:rsidR="00075DC7" w:rsidRPr="00876D33" w:rsidRDefault="00075DC7" w:rsidP="00876D33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6DD81" w14:textId="103FD80C" w:rsidR="00EE0144" w:rsidRPr="00876D33" w:rsidRDefault="00EE0144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Az eszközök odaítélésének mércéi</w:t>
      </w:r>
    </w:p>
    <w:p w14:paraId="3104DAEE" w14:textId="77777777" w:rsidR="004F595D" w:rsidRPr="00876D33" w:rsidRDefault="004F595D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8EC30" w14:textId="10AEFBCC" w:rsidR="009E6661" w:rsidRDefault="006E728C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7. szakasz</w:t>
      </w:r>
    </w:p>
    <w:p w14:paraId="23FE68F9" w14:textId="77777777" w:rsidR="00876D33" w:rsidRPr="00876D33" w:rsidRDefault="00876D3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CAD65" w14:textId="2D64D793" w:rsidR="00487308" w:rsidRPr="00876D33" w:rsidRDefault="00487308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A Bizottság által megvitatott kérelmek a következő mércék szerint kerülnek rangsorolásra:  </w:t>
      </w:r>
    </w:p>
    <w:p w14:paraId="6BC4CDA9" w14:textId="6835D477" w:rsidR="00487308" w:rsidRPr="00876D33" w:rsidRDefault="00487308" w:rsidP="00876D33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6031"/>
        <w:gridCol w:w="1016"/>
      </w:tblGrid>
      <w:tr w:rsidR="00487308" w:rsidRPr="00876D33" w14:paraId="462E690A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876D33" w:rsidRDefault="00487308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14:paraId="34E6B5D2" w14:textId="77777777" w:rsidR="00487308" w:rsidRPr="00876D33" w:rsidRDefault="00487308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876D33" w:rsidRDefault="00487308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876D33" w:rsidRDefault="00487308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  <w:p w14:paraId="4391A9DD" w14:textId="77777777" w:rsidR="00487308" w:rsidRPr="00876D33" w:rsidRDefault="00487308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44583" w:rsidRPr="00876D33" w14:paraId="45EF39C1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20DE435" w:rsidR="00044583" w:rsidRPr="00876D33" w:rsidRDefault="00044583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6B81FD95" w:rsidR="00044583" w:rsidRPr="00876D33" w:rsidRDefault="00876D33" w:rsidP="00876D33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 xml:space="preserve"> külső védőháló programtevékenys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égekbe való bevonásának mértéke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044583" w:rsidRPr="00876D33" w:rsidRDefault="00044583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044583" w:rsidRPr="00876D33" w14:paraId="5D93ACFB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A6B" w14:textId="19F8B799" w:rsidR="00044583" w:rsidRPr="00876D33" w:rsidRDefault="00F910EA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5E8" w14:textId="40DF545D" w:rsidR="00044583" w:rsidRPr="00876D33" w:rsidRDefault="00876D33" w:rsidP="00876D33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 xml:space="preserve"> célcsoport (diákok és szülők) bevonásának mértéke, amely számár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a programot/projektet szánják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B55" w14:textId="6AC3D978" w:rsidR="00044583" w:rsidRPr="00876D33" w:rsidRDefault="00044583" w:rsidP="00876D33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44583" w:rsidRPr="00876D33" w14:paraId="080151D6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C8A" w14:textId="75A8233F" w:rsidR="00044583" w:rsidRPr="00876D33" w:rsidRDefault="00F910EA" w:rsidP="00876D33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BCD" w14:textId="5FF04079" w:rsidR="00044583" w:rsidRPr="00876D33" w:rsidRDefault="00876D33" w:rsidP="00876D3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 xml:space="preserve"> nevelő-oktató munka előmozdításához hozzájáruló programok/projektek megvalósítása alkalmáva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szerzett eddigi tapasztalatok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97A" w14:textId="1E5F9454" w:rsidR="00044583" w:rsidRPr="00876D33" w:rsidRDefault="00044583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44583" w:rsidRPr="00876D33" w14:paraId="40A07438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99D" w14:textId="4E5D30B5" w:rsidR="00044583" w:rsidRPr="00876D33" w:rsidRDefault="00F910EA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6ED" w14:textId="246B0162" w:rsidR="00044583" w:rsidRPr="00876D33" w:rsidRDefault="00876D33" w:rsidP="00876D3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>z intézmény székhelye szerinti helyi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kormányzat fejlettségi szintje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23C" w14:textId="12613C0C" w:rsidR="00044583" w:rsidRPr="00876D33" w:rsidRDefault="00044583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44583" w:rsidRPr="00876D33" w14:paraId="36B9F334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F99" w14:textId="68225D4D" w:rsidR="00044583" w:rsidRPr="00876D33" w:rsidRDefault="00F910EA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12D" w14:textId="78390322" w:rsidR="00044583" w:rsidRPr="00876D33" w:rsidRDefault="00876D33" w:rsidP="00876D3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 xml:space="preserve"> programtevékenységek, illetve projektek egyéb </w:t>
            </w:r>
            <w:proofErr w:type="gramStart"/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anszírozási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forrásainak megléte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5B5" w14:textId="37495AD2" w:rsidR="00044583" w:rsidRPr="00876D33" w:rsidRDefault="00044583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044583" w:rsidRPr="00876D33" w14:paraId="48E901B5" w14:textId="77777777" w:rsidTr="00876D33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3D49" w14:textId="0962531B" w:rsidR="00044583" w:rsidRPr="00876D33" w:rsidRDefault="00F910EA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B4" w14:textId="6925C0C4" w:rsidR="00044583" w:rsidRPr="00876D33" w:rsidRDefault="00876D33" w:rsidP="00876D3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4583" w:rsidRPr="00876D33">
              <w:rPr>
                <w:rFonts w:ascii="Times New Roman" w:hAnsi="Times New Roman" w:cs="Times New Roman"/>
                <w:sz w:val="24"/>
                <w:szCs w:val="24"/>
              </w:rPr>
              <w:t xml:space="preserve"> Vajdaság AT költségvetéséből az előző években odaítélt eszközök sikeres felhasználása, amelyet a költségvetési eszközök rendeltetésszerű és jogszerű felhasználásáról szóló jelentés és a kapcsolód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 bizonyítékok támasztanak alá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779" w14:textId="142E088D" w:rsidR="00044583" w:rsidRPr="00876D33" w:rsidRDefault="00044583" w:rsidP="00876D3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14:paraId="3618B28C" w14:textId="68611E34" w:rsidR="002C674B" w:rsidRPr="00876D33" w:rsidRDefault="002C674B" w:rsidP="00876D33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7497E23" w14:textId="70D0AC85" w:rsidR="001A663B" w:rsidRDefault="001A663B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Döntéshozatal az eszközök odaítéléséről</w:t>
      </w:r>
    </w:p>
    <w:p w14:paraId="10775F48" w14:textId="77777777" w:rsidR="00876D33" w:rsidRPr="00876D33" w:rsidRDefault="00876D33" w:rsidP="00876D33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13CE5" w14:textId="0FCF5326" w:rsidR="00F83D63" w:rsidRPr="00876D33" w:rsidRDefault="00F83D63" w:rsidP="00876D33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8. szakasz</w:t>
      </w:r>
    </w:p>
    <w:p w14:paraId="6049D05E" w14:textId="77777777" w:rsidR="00F83D63" w:rsidRPr="00876D33" w:rsidRDefault="00F83D63" w:rsidP="00876D33">
      <w:pPr>
        <w:widowControl/>
        <w:tabs>
          <w:tab w:val="left" w:pos="720"/>
        </w:tabs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52FA93" w14:textId="2E627C84" w:rsidR="00F83D63" w:rsidRPr="00876D33" w:rsidRDefault="00386704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pályázatban és a szabályzatban meghatá</w:t>
      </w:r>
      <w:r w:rsidR="003E2835">
        <w:rPr>
          <w:rFonts w:ascii="Times New Roman" w:hAnsi="Times New Roman" w:cs="Times New Roman"/>
          <w:sz w:val="24"/>
          <w:szCs w:val="24"/>
        </w:rPr>
        <w:t>rozott mércékkel összhangban a B</w:t>
      </w:r>
      <w:r w:rsidRPr="00876D33">
        <w:rPr>
          <w:rFonts w:ascii="Times New Roman" w:hAnsi="Times New Roman" w:cs="Times New Roman"/>
          <w:sz w:val="24"/>
          <w:szCs w:val="24"/>
        </w:rPr>
        <w:t xml:space="preserve">izottság rangsorolja a pályázókat, és javaslatot tesz a pályázatban meghatározott eszközök elosztására. </w:t>
      </w:r>
    </w:p>
    <w:p w14:paraId="13A45CBE" w14:textId="4D827D73" w:rsidR="00F83D63" w:rsidRDefault="003E2835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bookmarkStart w:id="0" w:name="_GoBack"/>
      <w:bookmarkEnd w:id="0"/>
      <w:r w:rsidR="00F83D63" w:rsidRPr="00876D33">
        <w:rPr>
          <w:rFonts w:ascii="Times New Roman" w:hAnsi="Times New Roman" w:cs="Times New Roman"/>
          <w:sz w:val="24"/>
          <w:szCs w:val="24"/>
        </w:rPr>
        <w:t>izottság köteles az eszközök elosztására vonatkozó javaslatot a kérelmek benyújtására megszabott határidő lejártától számított legfeljebb 60 napon belül elkészíteni, és a rangsorolási listával együtt benyújtani a tartományi titkárnak döntéshozatalra.</w:t>
      </w:r>
    </w:p>
    <w:p w14:paraId="62373492" w14:textId="77777777" w:rsidR="00876D33" w:rsidRPr="00876D33" w:rsidRDefault="00876D3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3CDCD6" w14:textId="7D306087" w:rsidR="00487308" w:rsidRPr="00876D33" w:rsidRDefault="00487308" w:rsidP="00876D33">
      <w:pPr>
        <w:spacing w:line="228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9. szakasz</w:t>
      </w:r>
    </w:p>
    <w:p w14:paraId="2DF0AF1F" w14:textId="77777777" w:rsidR="00487308" w:rsidRPr="00876D33" w:rsidRDefault="00487308" w:rsidP="00876D33">
      <w:pPr>
        <w:spacing w:before="11"/>
        <w:ind w:firstLine="720"/>
        <w:rPr>
          <w:rFonts w:ascii="Times New Roman" w:hAnsi="Times New Roman" w:cs="Times New Roman"/>
          <w:sz w:val="24"/>
          <w:szCs w:val="24"/>
        </w:rPr>
      </w:pPr>
    </w:p>
    <w:p w14:paraId="4CE704DE" w14:textId="77777777" w:rsidR="000212A0" w:rsidRPr="00876D33" w:rsidRDefault="00487308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tartományi titkár megvitatja a Bizottság javaslatát és a rangsorolási listát, majd a Bizottság javaslatának kézhezvételétől számított 30 napon belül határozattal dönt az eszközök felhasználók részére történő odaítéléséről.</w:t>
      </w:r>
    </w:p>
    <w:p w14:paraId="5BBA74E7" w14:textId="77777777" w:rsidR="00487308" w:rsidRPr="00876D33" w:rsidRDefault="00487308" w:rsidP="00876D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jelen szakasz 1. bekezdésében foglalt határozat végleges.</w:t>
      </w:r>
    </w:p>
    <w:p w14:paraId="1B23AC05" w14:textId="77777777" w:rsidR="00487308" w:rsidRPr="00876D33" w:rsidRDefault="00487308" w:rsidP="00876D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lastRenderedPageBreak/>
        <w:t>A jelen szakasz 1. bekezdésében foglalt, az odaítélt eszközökre vonatkozó táblázatos szemléltetést is tartalmazó határozatot közzé kell tenni a Tartományi Titkárság honlapján.</w:t>
      </w:r>
    </w:p>
    <w:p w14:paraId="599DEDC1" w14:textId="77777777" w:rsidR="001135FD" w:rsidRPr="00876D33" w:rsidRDefault="001135FD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3546A" w14:textId="7AE8A3AC" w:rsidR="00306291" w:rsidRDefault="00306291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Szerződéskötés</w:t>
      </w:r>
    </w:p>
    <w:p w14:paraId="49DBE722" w14:textId="77777777" w:rsidR="00876D33" w:rsidRPr="00876D33" w:rsidRDefault="00876D3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9B39E" w14:textId="4C546503" w:rsidR="009E6661" w:rsidRPr="00876D33" w:rsidRDefault="00077BF8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10. szakasz</w:t>
      </w:r>
    </w:p>
    <w:p w14:paraId="6EAC6FF7" w14:textId="77777777" w:rsidR="009E6661" w:rsidRPr="00876D33" w:rsidRDefault="009E6661" w:rsidP="00876D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504014" w14:textId="77777777" w:rsidR="009E6661" w:rsidRPr="00876D33" w:rsidRDefault="00077BF8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Tartományi Titkárság az eszközök odaítélésére vonatkozó kötelezettségét a költségvetési rendszert szabályozó törvény értelmében szerződés alapján vállalja.</w:t>
      </w:r>
    </w:p>
    <w:p w14:paraId="351266D0" w14:textId="77777777" w:rsidR="001A663B" w:rsidRPr="00876D33" w:rsidRDefault="001A663B" w:rsidP="00876D3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6BEC" w14:textId="143EE1B0" w:rsidR="001A663B" w:rsidRDefault="001A663B" w:rsidP="00876D3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Az odaítélt eszközök folyósítása</w:t>
      </w:r>
    </w:p>
    <w:p w14:paraId="4B64EAB6" w14:textId="77777777" w:rsidR="00876D33" w:rsidRPr="00876D33" w:rsidRDefault="00876D33" w:rsidP="00876D3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EC637" w14:textId="6553210C" w:rsidR="001A663B" w:rsidRDefault="001A663B" w:rsidP="00876D3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11. szakasz</w:t>
      </w:r>
    </w:p>
    <w:p w14:paraId="4127B628" w14:textId="77777777" w:rsidR="00876D33" w:rsidRPr="00876D33" w:rsidRDefault="00876D33" w:rsidP="00876D3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7B551" w14:textId="225D9731" w:rsidR="000212A0" w:rsidRPr="00876D33" w:rsidRDefault="001A663B" w:rsidP="00876D33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D33">
        <w:rPr>
          <w:rFonts w:ascii="Times New Roman" w:hAnsi="Times New Roman" w:cs="Times New Roman"/>
          <w:bCs/>
          <w:sz w:val="24"/>
          <w:szCs w:val="24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876D33" w:rsidRDefault="000212A0" w:rsidP="00876D33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D33">
        <w:rPr>
          <w:rFonts w:ascii="Times New Roman" w:hAnsi="Times New Roman" w:cs="Times New Roman"/>
          <w:bCs/>
          <w:sz w:val="24"/>
          <w:szCs w:val="24"/>
        </w:rPr>
        <w:t>Ha a felhasználó nem írja alá a szerződést a Titkárság által meghatározott határidőn belül, úgy kell tekinteni, hogy a benyújtott kérelmétől elállt.</w:t>
      </w:r>
    </w:p>
    <w:p w14:paraId="74D9C723" w14:textId="77777777" w:rsidR="000212A0" w:rsidRPr="00876D33" w:rsidRDefault="000212A0" w:rsidP="00876D33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D33">
        <w:rPr>
          <w:rFonts w:ascii="Times New Roman" w:hAnsi="Times New Roman" w:cs="Times New Roman"/>
          <w:bCs/>
          <w:sz w:val="24"/>
          <w:szCs w:val="24"/>
        </w:rPr>
        <w:t>Ha a Titkárság befolyásán kívül eső okok miatt a jóváhagyott támogatás nem utalható át a felhasználók számlájára, a Titkárság jogosult a szerződés felmondására.</w:t>
      </w:r>
    </w:p>
    <w:p w14:paraId="1D641040" w14:textId="798D36C8" w:rsidR="0003782F" w:rsidRPr="00876D33" w:rsidRDefault="0003782F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5438C" w14:textId="397BA1B9" w:rsidR="00F83D63" w:rsidRDefault="00F83D6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Az odaítélt eszközök felhasználása és a felhasználók kötelezettségei</w:t>
      </w:r>
    </w:p>
    <w:p w14:paraId="56F814D7" w14:textId="77777777" w:rsidR="00876D33" w:rsidRPr="00876D33" w:rsidRDefault="00876D3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DFD6C" w14:textId="7AC762F7" w:rsidR="00F83D63" w:rsidRDefault="00F83D6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12. szakasz</w:t>
      </w:r>
    </w:p>
    <w:p w14:paraId="4E2CAA4C" w14:textId="77777777" w:rsidR="00876D33" w:rsidRPr="00876D33" w:rsidRDefault="00876D3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FE7E2" w14:textId="77777777" w:rsidR="00F83D63" w:rsidRPr="00876D33" w:rsidRDefault="00F83D6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felhasználó köteles az odaítélt eszközöket rendeltetésszerűen és jogszerűen használni, a fel nem használt eszközöket pedig Vajdaság AT költségvetésébe visszajuttatni.</w:t>
      </w:r>
    </w:p>
    <w:p w14:paraId="20CFA62A" w14:textId="22D01AA7" w:rsidR="00F83D63" w:rsidRPr="00876D33" w:rsidRDefault="00F83D6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</w:t>
      </w:r>
    </w:p>
    <w:p w14:paraId="592663A9" w14:textId="77777777" w:rsidR="00F83D63" w:rsidRPr="00876D33" w:rsidRDefault="00F83D6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felhasználó köteles az odaítélt eszközöket Vajdaság AT költségvetésébe visszajuttatni, ha megállapítást nyer, hogy az eszközöket nem az odaítélés rendeltetésének megvalósítására használták fel.</w:t>
      </w:r>
    </w:p>
    <w:p w14:paraId="30CA3265" w14:textId="77777777" w:rsidR="00F83D63" w:rsidRPr="00876D33" w:rsidRDefault="00F83D6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Ha a felhasználó a jelen szakasz 2. bekezdésében foglalt jelentést nem nyújtja be, az új programokkal, illetve pályázatokkal szétosztandó eszközökre való pályázási jogát elveszíti.</w:t>
      </w:r>
    </w:p>
    <w:p w14:paraId="6355D98D" w14:textId="7286F8CF" w:rsidR="002C674B" w:rsidRPr="00876D33" w:rsidRDefault="00F83D63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Ha gyanú merül fel, hogy egyes esetekben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14:paraId="4BE35DD7" w14:textId="77777777" w:rsidR="002C674B" w:rsidRPr="00876D33" w:rsidRDefault="002C674B" w:rsidP="00876D33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6D3B3" w14:textId="6F87E830" w:rsidR="00F83D63" w:rsidRPr="00876D33" w:rsidRDefault="00F83D63" w:rsidP="00876D33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D33">
        <w:rPr>
          <w:rFonts w:ascii="Times New Roman" w:hAnsi="Times New Roman" w:cs="Times New Roman"/>
          <w:b/>
          <w:bCs/>
          <w:sz w:val="24"/>
          <w:szCs w:val="24"/>
        </w:rPr>
        <w:t>A megvalósítás nyomon követése</w:t>
      </w:r>
    </w:p>
    <w:p w14:paraId="0F8BFEF3" w14:textId="41CED675" w:rsidR="00B94B6F" w:rsidRPr="00876D33" w:rsidRDefault="00F83D63" w:rsidP="00876D33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13. szakasz</w:t>
      </w:r>
    </w:p>
    <w:p w14:paraId="5ABF3241" w14:textId="77777777" w:rsidR="00B94B6F" w:rsidRPr="00876D33" w:rsidRDefault="00B94B6F" w:rsidP="00876D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Titkárság nyomon követi azon programok vagy projektek megvalósítását, amelyekre az eszközöket odaítélték.</w:t>
      </w:r>
    </w:p>
    <w:p w14:paraId="73F7CD37" w14:textId="77777777" w:rsidR="00B94B6F" w:rsidRPr="00876D33" w:rsidRDefault="00B94B6F" w:rsidP="00876D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megvalósítás nyomon követése a következőket foglalja magában:</w:t>
      </w:r>
    </w:p>
    <w:p w14:paraId="04889C83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kérelmező kötelezettségét, hogy a szerződésben meghatározott határidőn belül tájékoztassa a Titkárságot a programok vagy projektek megvalósításáról,</w:t>
      </w:r>
    </w:p>
    <w:p w14:paraId="07E905DD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jelentések áttekintését a Titkárság részéről,</w:t>
      </w:r>
    </w:p>
    <w:p w14:paraId="1192B293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lastRenderedPageBreak/>
        <w:t>a Titkárság képviselőjének monitoring látogatásait,</w:t>
      </w:r>
    </w:p>
    <w:p w14:paraId="43D96939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pályázó kötelezettségét, hogy a program vagy projekt megvalósítása során keletkezett lényeges dokumentációba betekintést biztosítson a Titkárság képviselői számára,</w:t>
      </w:r>
    </w:p>
    <w:p w14:paraId="06A695EA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adatok beszerzését a pályázótól,</w:t>
      </w:r>
    </w:p>
    <w:p w14:paraId="3FD1DC31" w14:textId="77777777" w:rsidR="00B94B6F" w:rsidRPr="00876D33" w:rsidRDefault="00B94B6F" w:rsidP="00876D3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szerződésben előirányzott egyéb tevékenységeket.</w:t>
      </w:r>
    </w:p>
    <w:p w14:paraId="70F927C1" w14:textId="77777777" w:rsidR="00B94B6F" w:rsidRPr="00876D33" w:rsidRDefault="00B94B6F" w:rsidP="00876D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pályázó köteles a Titkárság részére lehetővé tenni a programok, illetve a projektek megvalósításának nyomon követését.</w:t>
      </w:r>
    </w:p>
    <w:p w14:paraId="1AA50EF2" w14:textId="77777777" w:rsidR="00044583" w:rsidRPr="00876D33" w:rsidRDefault="00044583" w:rsidP="00876D33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EBC37DA" w14:textId="1C1632BC" w:rsidR="00F83D63" w:rsidRPr="00876D33" w:rsidRDefault="00F83D63" w:rsidP="00876D33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14. szakasz</w:t>
      </w:r>
    </w:p>
    <w:p w14:paraId="1B0080B3" w14:textId="534F0EE9" w:rsidR="00473CA2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bCs/>
          <w:sz w:val="24"/>
          <w:szCs w:val="24"/>
        </w:rPr>
        <w:t>A programok és projektek megvalósításának nyomon követése céljából a Titkárság monitoring látogatásokat szervezhet.</w:t>
      </w:r>
    </w:p>
    <w:p w14:paraId="6B43D201" w14:textId="4958CB79" w:rsidR="00473CA2" w:rsidRPr="00876D33" w:rsidRDefault="00473CA2" w:rsidP="00876D33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bCs/>
          <w:sz w:val="24"/>
          <w:szCs w:val="24"/>
        </w:rPr>
        <w:t>A hat hónapnál hosszabb ideig tartó programok, illetve projektek esetében, amelyekre a jóváhagyott eszközök értéke meghaladja az 500.000,00 dinárt,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23DC560B" w14:textId="693F9580" w:rsidR="00473CA2" w:rsidRPr="00876D33" w:rsidRDefault="00473CA2" w:rsidP="00876D33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Titkárság a monitoring látogatásról jelentést készít, a látogatástól számított tíz napos határidőn belül.</w:t>
      </w:r>
    </w:p>
    <w:p w14:paraId="3347C295" w14:textId="21A996AB" w:rsidR="00306291" w:rsidRPr="00876D33" w:rsidRDefault="00306291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7B54F1CA" w14:textId="77777777" w:rsidR="00044583" w:rsidRPr="00876D33" w:rsidRDefault="00044583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86C0369" w14:textId="493B19AE" w:rsidR="009E6661" w:rsidRPr="00876D33" w:rsidRDefault="00077BF8" w:rsidP="00876D33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D33">
        <w:rPr>
          <w:rFonts w:ascii="Times New Roman" w:hAnsi="Times New Roman" w:cs="Times New Roman"/>
          <w:b/>
          <w:sz w:val="24"/>
          <w:szCs w:val="24"/>
        </w:rPr>
        <w:t>15. szakasz</w:t>
      </w:r>
    </w:p>
    <w:p w14:paraId="02CB99F5" w14:textId="77777777" w:rsidR="009E6661" w:rsidRPr="00876D33" w:rsidRDefault="009E6661" w:rsidP="00876D33">
      <w:pPr>
        <w:pStyle w:val="BodyText"/>
        <w:spacing w:before="1"/>
        <w:ind w:firstLine="720"/>
        <w:rPr>
          <w:rFonts w:ascii="Times New Roman" w:hAnsi="Times New Roman" w:cs="Times New Roman"/>
          <w:sz w:val="24"/>
          <w:szCs w:val="24"/>
        </w:rPr>
      </w:pPr>
    </w:p>
    <w:p w14:paraId="228C40AC" w14:textId="77777777" w:rsidR="00BF7D9E" w:rsidRPr="00876D33" w:rsidRDefault="00BF7D9E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A jelen szabályzat Vajdaság Autonóm Tartomány Hivatalos Lapjában való közzétételének napján lép hatályba, és a Tartományi Oktatási, Jogalkotási, Közigazgatási és Nemzeti Kisebbségi - Nemzeti Közösségi Titkárság hivatalos honlapján is közzétételre kerül.</w:t>
      </w:r>
    </w:p>
    <w:p w14:paraId="0F9E9E6B" w14:textId="77777777" w:rsidR="00BF7D9E" w:rsidRPr="00876D33" w:rsidRDefault="00BF7D9E" w:rsidP="00876D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A8262B" w14:textId="77777777" w:rsidR="009E6661" w:rsidRPr="00876D33" w:rsidRDefault="009E6661" w:rsidP="00876D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ECD21C7" w14:textId="51DD4054" w:rsidR="009E6661" w:rsidRDefault="00077BF8" w:rsidP="00876D3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TARTOMÁNYI OKTATÁSI, JOGALKOTÁSI, KÖZIGAZGATÁSI </w:t>
      </w:r>
      <w:proofErr w:type="gramStart"/>
      <w:r w:rsidRPr="00876D3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NEMZETI KISEBBSÉGI </w:t>
      </w:r>
      <w:r w:rsidR="00876D33">
        <w:rPr>
          <w:rFonts w:ascii="Times New Roman" w:hAnsi="Times New Roman" w:cs="Times New Roman"/>
          <w:sz w:val="24"/>
          <w:szCs w:val="24"/>
        </w:rPr>
        <w:t>–</w:t>
      </w:r>
      <w:r w:rsidRPr="00876D33">
        <w:rPr>
          <w:rFonts w:ascii="Times New Roman" w:hAnsi="Times New Roman" w:cs="Times New Roman"/>
          <w:sz w:val="24"/>
          <w:szCs w:val="24"/>
        </w:rPr>
        <w:t xml:space="preserve"> NEMZETI KÖZÖSSÉGI TITKÁRSÁG</w:t>
      </w:r>
    </w:p>
    <w:p w14:paraId="2FF9C70F" w14:textId="77777777" w:rsidR="00876D33" w:rsidRPr="00876D33" w:rsidRDefault="00876D33" w:rsidP="00876D3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E6BB169" w14:textId="384F8832" w:rsidR="00077BF8" w:rsidRPr="00876D33" w:rsidRDefault="00876D33" w:rsidP="0087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000414878 </w:t>
      </w:r>
      <w:r w:rsidR="00077BF8" w:rsidRPr="00876D33">
        <w:rPr>
          <w:rFonts w:ascii="Times New Roman" w:hAnsi="Times New Roman" w:cs="Times New Roman"/>
          <w:sz w:val="24"/>
          <w:szCs w:val="24"/>
        </w:rPr>
        <w:t>2025 09427 001 001 000 001</w:t>
      </w:r>
    </w:p>
    <w:p w14:paraId="186AA88D" w14:textId="3C8D6659" w:rsidR="006420A7" w:rsidRPr="00876D33" w:rsidRDefault="00077BF8" w:rsidP="00876D33">
      <w:pPr>
        <w:rPr>
          <w:rFonts w:ascii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>Újvidék, 2025. február 11.</w:t>
      </w:r>
    </w:p>
    <w:p w14:paraId="4ED0FB32" w14:textId="0B559FF0" w:rsidR="006420A7" w:rsidRPr="00876D33" w:rsidRDefault="006420A7" w:rsidP="00876D33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6197CD8" w14:textId="4D8C8736" w:rsidR="00232930" w:rsidRDefault="00876D33" w:rsidP="00876D33">
      <w:pPr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2930" w:rsidRPr="00876D33">
        <w:rPr>
          <w:rFonts w:ascii="Times New Roman" w:hAnsi="Times New Roman" w:cs="Times New Roman"/>
          <w:sz w:val="24"/>
          <w:szCs w:val="24"/>
        </w:rPr>
        <w:t>Ótott</w:t>
      </w:r>
      <w:proofErr w:type="spellEnd"/>
      <w:r w:rsidR="00232930" w:rsidRPr="00876D33">
        <w:rPr>
          <w:rFonts w:ascii="Times New Roman" w:hAnsi="Times New Roman" w:cs="Times New Roman"/>
          <w:sz w:val="24"/>
          <w:szCs w:val="24"/>
        </w:rPr>
        <w:t xml:space="preserve"> Róbert</w:t>
      </w:r>
    </w:p>
    <w:p w14:paraId="71767265" w14:textId="680F7D4E" w:rsidR="00876D33" w:rsidRDefault="00876D33" w:rsidP="00876D33">
      <w:pPr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33AE904" w14:textId="560A9A1C" w:rsidR="009E6661" w:rsidRPr="00876D33" w:rsidRDefault="00876D33" w:rsidP="00876D33">
      <w:pPr>
        <w:ind w:left="4956" w:firstLine="72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876D33">
        <w:rPr>
          <w:rFonts w:ascii="Times New Roman" w:hAnsi="Times New Roman" w:cs="Times New Roman"/>
          <w:sz w:val="24"/>
          <w:szCs w:val="24"/>
        </w:rPr>
        <w:t>artományi</w:t>
      </w:r>
      <w:proofErr w:type="gramEnd"/>
      <w:r w:rsidRPr="00876D33">
        <w:rPr>
          <w:rFonts w:ascii="Times New Roman" w:hAnsi="Times New Roman" w:cs="Times New Roman"/>
          <w:sz w:val="24"/>
          <w:szCs w:val="24"/>
        </w:rPr>
        <w:t xml:space="preserve"> titkár</w:t>
      </w:r>
    </w:p>
    <w:sectPr w:rsidR="009E6661" w:rsidRPr="00876D33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212A0"/>
    <w:rsid w:val="0003782F"/>
    <w:rsid w:val="00042919"/>
    <w:rsid w:val="00044583"/>
    <w:rsid w:val="00075DC7"/>
    <w:rsid w:val="00077BF8"/>
    <w:rsid w:val="001135FD"/>
    <w:rsid w:val="0012255F"/>
    <w:rsid w:val="00151483"/>
    <w:rsid w:val="0016435F"/>
    <w:rsid w:val="001A663B"/>
    <w:rsid w:val="001D2708"/>
    <w:rsid w:val="0020172F"/>
    <w:rsid w:val="00201DEA"/>
    <w:rsid w:val="002277E8"/>
    <w:rsid w:val="00232930"/>
    <w:rsid w:val="002907AC"/>
    <w:rsid w:val="002C674B"/>
    <w:rsid w:val="002D2469"/>
    <w:rsid w:val="002F0064"/>
    <w:rsid w:val="00306291"/>
    <w:rsid w:val="00331179"/>
    <w:rsid w:val="00386704"/>
    <w:rsid w:val="00392437"/>
    <w:rsid w:val="003D4A49"/>
    <w:rsid w:val="003E2835"/>
    <w:rsid w:val="00422898"/>
    <w:rsid w:val="00473CA2"/>
    <w:rsid w:val="00487308"/>
    <w:rsid w:val="004A5988"/>
    <w:rsid w:val="004F595D"/>
    <w:rsid w:val="0056120A"/>
    <w:rsid w:val="00577ACB"/>
    <w:rsid w:val="00594A85"/>
    <w:rsid w:val="005B54CA"/>
    <w:rsid w:val="006052F7"/>
    <w:rsid w:val="006420A7"/>
    <w:rsid w:val="00687DE9"/>
    <w:rsid w:val="006E728C"/>
    <w:rsid w:val="007C6B91"/>
    <w:rsid w:val="007E3B1F"/>
    <w:rsid w:val="00841CDA"/>
    <w:rsid w:val="008553F0"/>
    <w:rsid w:val="00857520"/>
    <w:rsid w:val="00865828"/>
    <w:rsid w:val="00876D33"/>
    <w:rsid w:val="008E6E7F"/>
    <w:rsid w:val="00935AB9"/>
    <w:rsid w:val="009E6661"/>
    <w:rsid w:val="009F2B0C"/>
    <w:rsid w:val="00A21E10"/>
    <w:rsid w:val="00A43C92"/>
    <w:rsid w:val="00B01F26"/>
    <w:rsid w:val="00B94B6F"/>
    <w:rsid w:val="00BF7D9E"/>
    <w:rsid w:val="00D40F2B"/>
    <w:rsid w:val="00DB263D"/>
    <w:rsid w:val="00DF13A0"/>
    <w:rsid w:val="00E171C5"/>
    <w:rsid w:val="00E27A3B"/>
    <w:rsid w:val="00E625F4"/>
    <w:rsid w:val="00E720D4"/>
    <w:rsid w:val="00E774BA"/>
    <w:rsid w:val="00EE0144"/>
    <w:rsid w:val="00F10ECE"/>
    <w:rsid w:val="00F337F1"/>
    <w:rsid w:val="00F83D63"/>
    <w:rsid w:val="00F910EA"/>
    <w:rsid w:val="00FA5191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Sabo Orsolja</cp:lastModifiedBy>
  <cp:revision>11</cp:revision>
  <cp:lastPrinted>2023-02-14T13:32:00Z</cp:lastPrinted>
  <dcterms:created xsi:type="dcterms:W3CDTF">2025-02-11T11:01:00Z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