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80BC2" w:rsidRPr="00D64227" w:rsidTr="003E1BBC">
        <w:trPr>
          <w:trHeight w:val="1975"/>
          <w:jc w:val="center"/>
        </w:trPr>
        <w:tc>
          <w:tcPr>
            <w:tcW w:w="2552" w:type="dxa"/>
          </w:tcPr>
          <w:p w:rsidR="006B0C94" w:rsidRPr="00D64227" w:rsidRDefault="00A62710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B0C94" w:rsidRPr="00D64227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6B0C94" w:rsidRPr="00D64227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Autonómna pokrajina Vojvodina</w:t>
            </w:r>
          </w:p>
          <w:p w:rsidR="006B0C94" w:rsidRPr="00D64227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Pokrajinský sekretariát vzdelávania, predpisov,</w:t>
            </w:r>
          </w:p>
          <w:p w:rsidR="006B0C94" w:rsidRPr="00D64227" w:rsidRDefault="006B0C94" w:rsidP="00D642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správy a národnostných menšín – národnostných spoločenstiev</w:t>
            </w:r>
          </w:p>
          <w:p w:rsidR="006B0C94" w:rsidRPr="00D64227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Bulvár Mihajla Pupina 16, 21000 Nový Sad</w:t>
            </w:r>
          </w:p>
          <w:p w:rsidR="006B0C94" w:rsidRPr="00D64227" w:rsidRDefault="00D64227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4330</w:t>
            </w:r>
          </w:p>
          <w:p w:rsidR="006B0C94" w:rsidRPr="00F42140" w:rsidRDefault="00DB2FF3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E66DE5">
                <w:rPr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4310EB" w:rsidRDefault="004310EB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2"/>
              <w:gridCol w:w="1842"/>
            </w:tblGrid>
            <w:tr w:rsidR="00E262FB" w:rsidTr="00227778">
              <w:tc>
                <w:tcPr>
                  <w:tcW w:w="5142" w:type="dxa"/>
                </w:tcPr>
                <w:p w:rsidR="00E262FB" w:rsidRPr="007A787D" w:rsidRDefault="00E262FB" w:rsidP="00E66D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ČÍSLO: 003378157 2025 09427 001 000 000 001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42" w:type="dxa"/>
                </w:tcPr>
                <w:p w:rsidR="00E262FB" w:rsidRDefault="00411362" w:rsidP="00E66DE5">
                  <w:pPr>
                    <w:tabs>
                      <w:tab w:val="center" w:pos="4703"/>
                      <w:tab w:val="right" w:pos="9406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DÁTUM: 4. 8. 2025</w:t>
                  </w:r>
                </w:p>
              </w:tc>
            </w:tr>
          </w:tbl>
          <w:p w:rsidR="006B0C94" w:rsidRPr="00D64227" w:rsidRDefault="006B0C94" w:rsidP="00D6422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30DAF" w:rsidRDefault="00A30DAF" w:rsidP="00D64227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</w:p>
    <w:p w:rsidR="00B76114" w:rsidRPr="00DB2FF3" w:rsidRDefault="00B76114" w:rsidP="00A30DA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501AC" w:rsidRPr="00DB2FF3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Podľa článku 2 a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číslo: 14/15 a 10/17), článku 4 Pravidiel o prideľovaní rozpočtových prostriedkov Pokrajinského sekretariátu vzdelávania, predpisov, správy a národnostných menšín – národnostných spoločenstiev na financovanie a spolufinancovanie projektov v oblasti zlepšovania kvality výchovno-vzdelávacieho procesu základného vzdelávania – náklady na ubytovanie a dopravu žiakov tretieho ročníka základných škôl z územia AP Vojvodiny a angažovanie ich učiteľov ako sprievodcov v Kreatívnom centre Hertelendy – Bajić v Bočari na rok 2025 (Úradný vestník APV číslo: 40/25), a v súvislosti s Pokrajinským parlamentným uznesením o rozpočte Autonómnej pokrajiny Vojvodiny na rok 2025 (Úradný vestník číslo: 57/22 a 38/25 – opätovná bilancia), pokrajinský tajomník vzdelávania, predpisov, správy a národnostných menšín – národnostných spoločenstiev vypísal</w:t>
      </w:r>
    </w:p>
    <w:p w:rsidR="00A30DAF" w:rsidRPr="00DB2FF3" w:rsidRDefault="00A30DAF" w:rsidP="00A30DA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31AB" w:rsidRPr="00DB2FF3" w:rsidRDefault="00C431AB" w:rsidP="00D64227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b/>
          <w:sz w:val="20"/>
          <w:szCs w:val="20"/>
        </w:rPr>
        <w:t>SÚBEH</w:t>
      </w:r>
    </w:p>
    <w:p w:rsidR="00C431AB" w:rsidRPr="00DB2FF3" w:rsidRDefault="00C431AB" w:rsidP="00D6422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b/>
          <w:sz w:val="20"/>
          <w:szCs w:val="20"/>
        </w:rPr>
        <w:t xml:space="preserve">NA FINANCOVANIE A SPOLUFINANCOVANIE PROJEKTU V OBLASTI ZVYŠOVANIA KVALITY VÝCHOVNO-VZDELÁVACIEHO PROCESU ZÁKLADNÉHO VZDELÁVANIA – NÁKLADY NA UBYTOVANIE A DOPRAVU ŽIAKOV TRETIEHO ROČNÍKA ZÁKLADNÝCH ŠKÔL Z ÚZEMIA AP VOJVODINY A ANGAŽOVANIE ICH UČITEĽOV AKO SPRIEVODCOV V KREATÍVNOM CENTRE HERTELENDY – BAJIĆ V BOČARI NA ROK 2025 </w:t>
      </w:r>
    </w:p>
    <w:p w:rsidR="00B76114" w:rsidRPr="00DB2FF3" w:rsidRDefault="00B76114" w:rsidP="00D6422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142C4C" w:rsidRPr="00DB2FF3" w:rsidRDefault="00142C4C" w:rsidP="00D6422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A501AC" w:rsidRPr="00DB2FF3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Pokrajinský sekretariát vzdelávania, predpisov, správy a národnostných menšín – národnostných spoločenstiev (ďalej len: sekretariát) v súlade s Finančným plánom na rok 2025 na zvýšene kvality základného vzdelávania – náklady na ubytovanie a dopravu žiakov tretieho ročníka základných škôl z územia AP Vojvodiny a angažovanie ich učiteľov ako sprievodcov na realizáciu všetkých plánovaných aktivít v oblasti prírodných a spoločenských vied, umenia a kultúry, ktoré sa budú konať v období september – december 2025 v Kreatívnom centre Hertelendy – Bajić v Bočari, určuje sumu </w:t>
      </w:r>
      <w:r w:rsidRPr="00DB2FF3">
        <w:rPr>
          <w:rFonts w:asciiTheme="minorHAnsi" w:hAnsiTheme="minorHAnsi" w:cstheme="minorHAnsi"/>
          <w:b/>
          <w:bCs/>
          <w:sz w:val="20"/>
          <w:szCs w:val="20"/>
        </w:rPr>
        <w:t>10 000 000,00 dinárov</w:t>
      </w:r>
      <w:r w:rsidRPr="00DB2FF3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B76114" w:rsidRPr="00DB2FF3" w:rsidRDefault="00B76114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85082" w:rsidRPr="00DB2FF3" w:rsidRDefault="00985082" w:rsidP="0098508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b/>
          <w:sz w:val="20"/>
          <w:szCs w:val="20"/>
        </w:rPr>
        <w:t>PODMIENKY SÚBEHU</w:t>
      </w:r>
    </w:p>
    <w:p w:rsidR="00985082" w:rsidRPr="00DB2FF3" w:rsidRDefault="00985082" w:rsidP="00985082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985082" w:rsidRPr="00DB2FF3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DB2FF3">
        <w:rPr>
          <w:rFonts w:asciiTheme="minorHAnsi" w:hAnsiTheme="minorHAnsi" w:cstheme="minorHAnsi"/>
          <w:i/>
          <w:sz w:val="20"/>
          <w:szCs w:val="20"/>
        </w:rPr>
        <w:t>1. Žiadatelia</w:t>
      </w:r>
    </w:p>
    <w:p w:rsidR="002100EA" w:rsidRPr="00DB2FF3" w:rsidRDefault="00A501AC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Právo účasti na súbehu majú základné školy na území AP Vojvodiny, založené Srbskou republikou, autonómnou pokrajinou alebo jednotkou lokálnej samosprávy. Uvedené finančné prostriedky sú určené na zvýšenie kvality výchovno-vzdelávacieho procesu základného vzdelávania a výchovy – náklady na ubytovanie a dopravu žiakov tretieho ročníka základných škôl z územia Autonómnej pokrajiny Vojvodiny a angažovanie ich učiteľov ako sprievodcov na realizáciu všetkých plánovaných aktivít v Kreatívnom centre Hertelendy – Bajić v Bočari, ktoré sa budú konať v období september – december 2025.</w:t>
      </w:r>
    </w:p>
    <w:p w:rsidR="006210B8" w:rsidRPr="00DB2FF3" w:rsidRDefault="006210B8" w:rsidP="00D64227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100EA" w:rsidRPr="00DB2FF3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Základné školy sa môžu uchádzať o:</w:t>
      </w:r>
    </w:p>
    <w:p w:rsidR="002100EA" w:rsidRPr="00DB2FF3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1) náklady na ubytovanie a stravu pre maximálne 20 žiakov tretieho ročníka, na ich účasť na plánovaných aktivitách, na 4 p</w:t>
      </w:r>
      <w:r w:rsidR="005764A1" w:rsidRPr="00DB2FF3">
        <w:rPr>
          <w:rFonts w:asciiTheme="minorHAnsi" w:hAnsiTheme="minorHAnsi" w:cstheme="minorHAnsi"/>
          <w:sz w:val="20"/>
          <w:szCs w:val="20"/>
        </w:rPr>
        <w:t>lné penzióny</w:t>
      </w:r>
      <w:r w:rsidRPr="00DB2FF3">
        <w:rPr>
          <w:rFonts w:asciiTheme="minorHAnsi" w:hAnsiTheme="minorHAnsi" w:cstheme="minorHAnsi"/>
          <w:sz w:val="20"/>
          <w:szCs w:val="20"/>
        </w:rPr>
        <w:t xml:space="preserve"> (začínajúc obedom v pondelok, končiac raňajkami v piatok);</w:t>
      </w:r>
    </w:p>
    <w:p w:rsidR="002100EA" w:rsidRPr="00DB2FF3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2) náklady na pobyt učiteľov ako sprievodcov žiakov (1 učiteľ – sprievodca na 10 žiakov), </w:t>
      </w:r>
    </w:p>
    <w:p w:rsidR="002100EA" w:rsidRPr="00DB2FF3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3) náklady na dopravu žiakov a ich učiteľov do Kreatívneho centra Hertelendy – Bajić v Bočari, ako aj náklady na spiatočnú cestu;</w:t>
      </w:r>
    </w:p>
    <w:p w:rsidR="002100EA" w:rsidRPr="00DB2FF3" w:rsidRDefault="002100EA" w:rsidP="002100EA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0F3BE7" w:rsidRPr="00DB2FF3" w:rsidRDefault="00141471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Plánované aktivity budú organizované podľa harmonogramu, ktorý vypracuje sekretariát.  </w:t>
      </w:r>
    </w:p>
    <w:p w:rsidR="00743022" w:rsidRPr="00DB2FF3" w:rsidRDefault="00743022" w:rsidP="00D64227">
      <w:pPr>
        <w:spacing w:before="60"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Finančnou podporou, ktorá sa týmto súbehom poskytuje, sa chráni verejný záujem určený ustanoveniami článku 6, 7, 8 a 9 Zákona o základoch systému vzdelania a výchovy (vestník Službeni glasnik RS č. 88/2017, 27/2018 – iné zákony, 10/2019, 6/2020, 129/2021, 92/2023 a 19/2025).</w:t>
      </w:r>
    </w:p>
    <w:p w:rsidR="00985082" w:rsidRPr="00DB2FF3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985082" w:rsidRPr="00DB2FF3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DB2FF3">
        <w:rPr>
          <w:rFonts w:asciiTheme="minorHAnsi" w:hAnsiTheme="minorHAnsi" w:cstheme="minorHAnsi"/>
          <w:i/>
          <w:sz w:val="20"/>
          <w:szCs w:val="20"/>
        </w:rPr>
        <w:t>2. Kritériá pridelenia finančných prostriedkov</w:t>
      </w:r>
    </w:p>
    <w:p w:rsidR="00985082" w:rsidRPr="00DB2FF3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985082" w:rsidRPr="00DB2FF3" w:rsidRDefault="00985082" w:rsidP="0098508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Kritériá pre rozdelenie finančných prostriedkov podľa Pravidiel o prideľovaní rozpočtových prostriedkov Pokrajinského sekretariátu vzdelávania, predpisov, správy a národnostných menšín – národnostných spoločenstiev na financovanie a spolufinancovanie projektu v oblasti zvyšovania kvality výchovno-vzdelávacieho procesu základného vzdelávania – náklady na ubytovanie a dopravu žiakov tretieho ročníka základných škôl z územia Autonómnej pokrajiny Vojvodiny a angažovanie ich učiteľov ako sprievodcov v Kreatívnom centre Hertelendy – Bajić v Bočari na rok 2025 sú: </w:t>
      </w:r>
    </w:p>
    <w:p w:rsidR="00541159" w:rsidRPr="00DB2FF3" w:rsidRDefault="00541159" w:rsidP="00985082">
      <w:pPr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</w:p>
    <w:p w:rsidR="00541159" w:rsidRPr="00DB2FF3" w:rsidRDefault="00541159" w:rsidP="00541159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úroveň rozvoja miestnej samosprávy, na ktorej území škola sídli;</w:t>
      </w:r>
    </w:p>
    <w:p w:rsidR="00541159" w:rsidRPr="00DB2FF3" w:rsidRDefault="00541159" w:rsidP="00541159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škola, v ktorej sa výchovno-vzdelávacia práca vykonáva aj v jazyku národnostnej menšiny – národnostného spoločenstva;</w:t>
      </w:r>
    </w:p>
    <w:p w:rsidR="00985082" w:rsidRPr="00DB2FF3" w:rsidRDefault="00985082" w:rsidP="00985082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CB0985" w:rsidRPr="00DB2FF3" w:rsidRDefault="00CB0985" w:rsidP="00D64227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541159" w:rsidRPr="00DB2FF3" w:rsidRDefault="00541159" w:rsidP="0054115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b/>
          <w:sz w:val="20"/>
          <w:szCs w:val="20"/>
        </w:rPr>
        <w:t>SPÔSOB PODÁVANIA PRIHLÁŠKY</w:t>
      </w:r>
    </w:p>
    <w:p w:rsidR="00541159" w:rsidRPr="00DB2FF3" w:rsidRDefault="00541159" w:rsidP="00541159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sr-Cyrl-CS"/>
        </w:rPr>
      </w:pPr>
    </w:p>
    <w:p w:rsidR="00541159" w:rsidRPr="00DB2FF3" w:rsidRDefault="00541159" w:rsidP="00541159">
      <w:pPr>
        <w:tabs>
          <w:tab w:val="left" w:pos="3960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Žiadosti o pridelenie finančných prostriedkov sa predkladajú na jednotnom tlačive sekretariátu (jedna ustanovizeň podáva len jednu prihlášku). Kompletnú súbehovú dokumentáciu je možné prebrať od </w:t>
      </w:r>
      <w:r w:rsidRPr="00DB2FF3">
        <w:rPr>
          <w:rFonts w:asciiTheme="minorHAnsi" w:hAnsiTheme="minorHAnsi" w:cstheme="minorHAnsi"/>
          <w:b/>
          <w:bCs/>
          <w:sz w:val="20"/>
          <w:szCs w:val="20"/>
          <w:u w:val="single"/>
        </w:rPr>
        <w:t>5. augusta 2025</w:t>
      </w:r>
      <w:r w:rsidRPr="00DB2FF3">
        <w:rPr>
          <w:rFonts w:asciiTheme="minorHAnsi" w:hAnsiTheme="minorHAnsi" w:cstheme="minorHAnsi"/>
          <w:sz w:val="20"/>
          <w:szCs w:val="20"/>
        </w:rPr>
        <w:t xml:space="preserve"> z webového sídla sekretariátu </w:t>
      </w:r>
      <w:hyperlink r:id="rId8">
        <w:r w:rsidRPr="00DB2FF3">
          <w:rPr>
            <w:rFonts w:asciiTheme="minorHAnsi" w:hAnsiTheme="minorHAnsi" w:cstheme="minorHAnsi"/>
            <w:b/>
            <w:color w:val="000000"/>
            <w:sz w:val="20"/>
            <w:szCs w:val="20"/>
            <w:u w:val="single"/>
          </w:rPr>
          <w:t xml:space="preserve">www.puma.vojvodina.gov.rs. </w:t>
        </w:r>
      </w:hyperlink>
    </w:p>
    <w:p w:rsidR="00541159" w:rsidRPr="00DB2FF3" w:rsidRDefault="00541159" w:rsidP="00541159">
      <w:pPr>
        <w:tabs>
          <w:tab w:val="left" w:pos="3960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</w:p>
    <w:p w:rsidR="00541159" w:rsidRPr="00DB2FF3" w:rsidRDefault="00541159" w:rsidP="0054115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Žiadosti sa doručujú poštou na adresu: Pokrajinský sekretariát vzdelávania, predpisov, správy a národnostných menšín – národnostných spoločenstiev s poznámkou „Pre súbeh – na financovanie a spolufinancovanie projektu v oblasti zvýšenia kvality výchovno-vzdelávacieho procesu základného vzdelávania – náklady na ubytovanie a dopravu žiakov tretieho ročníka základných škôl z územia Autonómnej pokrajiny Vojvodiny a angažovanie ich učiteľov ako sprievodcov v Kreatívnom centre Hertelendy – Bajić v Bočari na rok 2025</w:t>
      </w:r>
      <w:r w:rsidR="00DB2FF3" w:rsidRPr="00DB2FF3">
        <w:rPr>
          <w:rFonts w:asciiTheme="minorHAnsi" w:hAnsiTheme="minorHAnsi" w:cstheme="minorHAnsi"/>
          <w:sz w:val="20"/>
          <w:szCs w:val="20"/>
        </w:rPr>
        <w:t>“</w:t>
      </w:r>
      <w:r w:rsidRPr="00DB2FF3">
        <w:rPr>
          <w:rFonts w:asciiTheme="minorHAnsi" w:hAnsiTheme="minorHAnsi" w:cstheme="minorHAnsi"/>
          <w:sz w:val="20"/>
          <w:szCs w:val="20"/>
        </w:rPr>
        <w:t>, Bulvár Mihajla Pupina 16, 21000 Nový Sad, alebo sa podajú osobne odovzdaním na podateľni pokrajinských správnych orgánov v Novom Sade (na prízemí budovy Pokrajinskej vlády).</w:t>
      </w:r>
      <w:r w:rsidRPr="00DB2FF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85082" w:rsidRPr="00DB2FF3" w:rsidRDefault="00985082" w:rsidP="00985082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:rsidR="00985082" w:rsidRPr="00DB2FF3" w:rsidRDefault="00985082" w:rsidP="00985082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Spolu s prihláškou na súbeh sa predkladá vyplnená jednotná prihláška s uvedením počtu žiakov, o ktorých sa škola uchádza (v časti prihlášky týkajúcej sa žiakov – uvádza sa iba počet žiakov bez uvedenia osobných údajov žiakov a v časti prihlášky týkajúcej sa učiteľa je potrebné, bez uvedenia osobných údajov, uviesť kompetencie a pohlavie. </w:t>
      </w:r>
    </w:p>
    <w:p w:rsidR="00985082" w:rsidRPr="00DB2FF3" w:rsidRDefault="00985082" w:rsidP="00985082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Spolu s prihláškou na súbeh sa predkladá aj nezáväzná ponuka týkajúca sa ceny organizovanej dopravy žiakov a ich učiteľov do Kreatívneho centra Hertelendy – Bajić v Bočari, ako aj nákladov na spiatočnú dopravu.</w:t>
      </w:r>
    </w:p>
    <w:p w:rsidR="00985082" w:rsidRPr="00DB2FF3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Doklady o splnení požiadaviek na žiakov a učiteľov základné školy predkladajú na požiadanie sekretariátu – pri zostavovaní harmonogramu účasti – a riaditeľ školy zodpovedá za správnosť údajov uvedených v tlačive. </w:t>
      </w:r>
    </w:p>
    <w:p w:rsidR="00985082" w:rsidRPr="00DB2FF3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Ak je žiadosť podpísaná osobou na základe oprávnenia, je potrebné pripojiť náležité oprávnenie pre jej podpisovanie.</w:t>
      </w:r>
    </w:p>
    <w:p w:rsidR="00985082" w:rsidRPr="00DB2FF3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Spolu s prihláškou na súbeh sa vypĺňa aj Potvrdenie o zdravotnom stave žiaka, ktoré je potrebné vyplniť a </w:t>
      </w:r>
      <w:r w:rsidRPr="00DB2FF3">
        <w:rPr>
          <w:rFonts w:asciiTheme="minorHAnsi" w:hAnsiTheme="minorHAnsi" w:cstheme="minorHAnsi"/>
          <w:b/>
          <w:bCs/>
          <w:sz w:val="20"/>
          <w:szCs w:val="20"/>
        </w:rPr>
        <w:t>odovzdať učiteľovi – sprievodcovi</w:t>
      </w:r>
      <w:r w:rsidRPr="00DB2FF3">
        <w:rPr>
          <w:rFonts w:asciiTheme="minorHAnsi" w:hAnsiTheme="minorHAnsi" w:cstheme="minorHAnsi"/>
          <w:sz w:val="20"/>
          <w:szCs w:val="20"/>
        </w:rPr>
        <w:t xml:space="preserve">, ktorý bude dieťa sprevádzať. Potvrdenie o zdravotnom stave sa sekretariátu </w:t>
      </w:r>
      <w:r w:rsidRPr="00DB2FF3">
        <w:rPr>
          <w:rFonts w:asciiTheme="minorHAnsi" w:hAnsiTheme="minorHAnsi" w:cstheme="minorHAnsi"/>
          <w:b/>
          <w:bCs/>
          <w:sz w:val="20"/>
          <w:szCs w:val="20"/>
        </w:rPr>
        <w:t>nepredkladá.</w:t>
      </w:r>
      <w:r w:rsidRPr="00DB2F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5082" w:rsidRPr="00DB2FF3" w:rsidRDefault="00985082" w:rsidP="00DB2FF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V prípade potreby sekretariát si vyhradzuje právo vyžiadať si od žiadateľa doplňujúcu dokumentáciu a informácie; a ak žiadateľ neodpovie na žiadosť o doplnenie dokumentácie do 8 dní, sekretariát bude považovať žiadosť za neúplnú.</w:t>
      </w:r>
    </w:p>
    <w:p w:rsidR="00686DF9" w:rsidRPr="00DB2FF3" w:rsidRDefault="008E2929" w:rsidP="00DB2FF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O pridelení finančných prostriedkov príjemcom rozhoduje pokrajinský tajomník na návrh komisie na uskutočnenie súbehu, ktorá posudzuje prijaté žiadosti. </w:t>
      </w:r>
    </w:p>
    <w:p w:rsidR="00985082" w:rsidRPr="00DB2FF3" w:rsidRDefault="00985082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66E0B" w:rsidRPr="00DB2FF3" w:rsidRDefault="00F66E0B" w:rsidP="0098508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Komisia nebude rozoberať:</w:t>
      </w:r>
    </w:p>
    <w:p w:rsidR="00F66E0B" w:rsidRPr="00DB2FF3" w:rsidRDefault="00F66E0B" w:rsidP="00DB2FF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neúplné prihlášky; </w:t>
      </w:r>
    </w:p>
    <w:p w:rsidR="00F66E0B" w:rsidRPr="00DB2FF3" w:rsidRDefault="00F66E0B" w:rsidP="00DB2FF3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oneskorené prihlášky; </w:t>
      </w:r>
    </w:p>
    <w:p w:rsidR="00F66E0B" w:rsidRPr="00DB2FF3" w:rsidRDefault="00F66E0B" w:rsidP="00DB2FF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nepovolené prihlášky (predložené neoprávnenými osobami a subjektmi, ktoré neboli plánované v súbehu); </w:t>
      </w:r>
    </w:p>
    <w:p w:rsidR="00F66E0B" w:rsidRPr="00DB2FF3" w:rsidRDefault="00F66E0B" w:rsidP="00DB2FF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prihlášky, ktoré nesúvisia s účelmi stanovenými súbehom. </w:t>
      </w:r>
    </w:p>
    <w:p w:rsidR="00B70DDC" w:rsidRPr="00DB2FF3" w:rsidRDefault="00B70DDC" w:rsidP="00D64227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sr-Cyrl-CS"/>
        </w:rPr>
      </w:pPr>
    </w:p>
    <w:p w:rsidR="00541159" w:rsidRPr="00DB2FF3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DB2FF3" w:rsidRDefault="00541159" w:rsidP="00541159">
      <w:pPr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DB2FF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Lehota podávania prihlášok na súbeh je 22. augusta 2025.</w:t>
      </w:r>
    </w:p>
    <w:p w:rsidR="00541159" w:rsidRPr="00DB2FF3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DB2FF3" w:rsidRDefault="00541159" w:rsidP="00541159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B2FF3">
        <w:rPr>
          <w:rFonts w:asciiTheme="minorHAnsi" w:hAnsiTheme="minorHAnsi" w:cstheme="minorHAnsi"/>
          <w:sz w:val="20"/>
          <w:szCs w:val="20"/>
        </w:rPr>
        <w:t xml:space="preserve">Tlačivo prihlášky a tlačivo Potvrdenia o zdravotnom stave žiaka je možné stiahnuť od 5. augusta 2025 na oficiálnej webovej stránke Pokrajinského sekretariátu vzdelávania, predpisov, správy a národnostných menšín – národnostných spoločenstiev </w:t>
      </w:r>
      <w:hyperlink r:id="rId9" w:history="1">
        <w:r w:rsidRPr="00DB2FF3">
          <w:rPr>
            <w:rStyle w:val="Hyperlink"/>
            <w:rFonts w:asciiTheme="minorHAnsi" w:hAnsiTheme="minorHAnsi" w:cstheme="minorHAnsi"/>
            <w:b/>
            <w:color w:val="auto"/>
            <w:sz w:val="20"/>
            <w:szCs w:val="20"/>
          </w:rPr>
          <w:t>www.puma.vojvodina.gov.rs</w:t>
        </w:r>
      </w:hyperlink>
      <w:r w:rsidRPr="00DB2FF3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541159" w:rsidRPr="00DB2FF3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541159" w:rsidRPr="00DB2FF3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501AC" w:rsidRPr="00DB2FF3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Výsledky súbehu sa uverejňujú na webovej stránke sekretariátu.</w:t>
      </w:r>
    </w:p>
    <w:p w:rsidR="00A501AC" w:rsidRPr="00DB2FF3" w:rsidRDefault="00A501AC" w:rsidP="00D642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42C4C" w:rsidRPr="00DB2FF3" w:rsidRDefault="00142C4C" w:rsidP="00D64227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</w:pPr>
    </w:p>
    <w:p w:rsidR="00A501AC" w:rsidRPr="00DB2FF3" w:rsidRDefault="00A501AC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Informácie v súvislosti so súbehom možno získať na telefónnych číslach: 021/ 487 4330.</w:t>
      </w:r>
    </w:p>
    <w:p w:rsidR="00541159" w:rsidRPr="00DB2FF3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541159" w:rsidRPr="00DB2FF3" w:rsidRDefault="00541159" w:rsidP="00D64227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E50370" w:rsidRPr="00DB2FF3" w:rsidRDefault="00E50370" w:rsidP="00D64227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70182" w:rsidRPr="00DB2FF3" w:rsidRDefault="00870182" w:rsidP="00870182">
      <w:pPr>
        <w:ind w:left="5760" w:firstLine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FF3">
        <w:rPr>
          <w:rFonts w:asciiTheme="minorHAnsi" w:hAnsiTheme="minorHAnsi" w:cstheme="minorHAnsi"/>
          <w:b/>
          <w:sz w:val="20"/>
          <w:szCs w:val="20"/>
        </w:rPr>
        <w:t>POKRAJINSKÝ TAJOMNÍK</w:t>
      </w:r>
    </w:p>
    <w:p w:rsidR="00870182" w:rsidRPr="00DB2FF3" w:rsidRDefault="00870182" w:rsidP="00870182">
      <w:pPr>
        <w:spacing w:line="240" w:lineRule="atLeast"/>
        <w:ind w:firstLine="6379"/>
        <w:jc w:val="center"/>
        <w:rPr>
          <w:rFonts w:asciiTheme="minorHAnsi" w:hAnsiTheme="minorHAnsi" w:cstheme="minorHAnsi"/>
          <w:sz w:val="20"/>
          <w:szCs w:val="20"/>
        </w:rPr>
      </w:pPr>
      <w:r w:rsidRPr="00DB2FF3">
        <w:rPr>
          <w:rFonts w:asciiTheme="minorHAnsi" w:hAnsiTheme="minorHAnsi" w:cstheme="minorHAnsi"/>
          <w:sz w:val="20"/>
          <w:szCs w:val="20"/>
        </w:rPr>
        <w:t>Róbert Ótott</w:t>
      </w:r>
    </w:p>
    <w:p w:rsidR="00870182" w:rsidRPr="00DB2FF3" w:rsidRDefault="00870182" w:rsidP="00870182">
      <w:pPr>
        <w:spacing w:line="240" w:lineRule="atLeast"/>
        <w:ind w:firstLine="6379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870182" w:rsidRPr="00DB2FF3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3942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662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5382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6102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6822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7542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8262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8982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9702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45C7A16"/>
    <w:multiLevelType w:val="hybridMultilevel"/>
    <w:tmpl w:val="1AEE9A52"/>
    <w:lvl w:ilvl="0" w:tplc="7DE2D4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622B1"/>
    <w:multiLevelType w:val="hybridMultilevel"/>
    <w:tmpl w:val="2D2AECEE"/>
    <w:lvl w:ilvl="0" w:tplc="015432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3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0"/>
  </w:num>
  <w:num w:numId="15">
    <w:abstractNumId w:val="25"/>
  </w:num>
  <w:num w:numId="16">
    <w:abstractNumId w:val="19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</w:num>
  <w:num w:numId="30">
    <w:abstractNumId w:val="24"/>
  </w:num>
  <w:num w:numId="31">
    <w:abstractNumId w:val="1"/>
  </w:num>
  <w:num w:numId="32">
    <w:abstractNumId w:val="15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7320B"/>
    <w:rsid w:val="00086904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1059A"/>
    <w:rsid w:val="00110AB2"/>
    <w:rsid w:val="00121915"/>
    <w:rsid w:val="00141471"/>
    <w:rsid w:val="00142C4C"/>
    <w:rsid w:val="00143998"/>
    <w:rsid w:val="00154838"/>
    <w:rsid w:val="00162336"/>
    <w:rsid w:val="0016662E"/>
    <w:rsid w:val="00180449"/>
    <w:rsid w:val="00184863"/>
    <w:rsid w:val="00194DC7"/>
    <w:rsid w:val="001A5964"/>
    <w:rsid w:val="001B037A"/>
    <w:rsid w:val="001B5587"/>
    <w:rsid w:val="001B622D"/>
    <w:rsid w:val="001E7DBF"/>
    <w:rsid w:val="001F1608"/>
    <w:rsid w:val="00203C84"/>
    <w:rsid w:val="002100EA"/>
    <w:rsid w:val="00220538"/>
    <w:rsid w:val="00225841"/>
    <w:rsid w:val="0022754D"/>
    <w:rsid w:val="00227778"/>
    <w:rsid w:val="00246D9B"/>
    <w:rsid w:val="00251112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F0604"/>
    <w:rsid w:val="003026E5"/>
    <w:rsid w:val="00305169"/>
    <w:rsid w:val="00310AB9"/>
    <w:rsid w:val="0031520D"/>
    <w:rsid w:val="00315F3A"/>
    <w:rsid w:val="00321CAD"/>
    <w:rsid w:val="00325138"/>
    <w:rsid w:val="00331172"/>
    <w:rsid w:val="003615F3"/>
    <w:rsid w:val="003628C1"/>
    <w:rsid w:val="003740E2"/>
    <w:rsid w:val="003753A3"/>
    <w:rsid w:val="003C63F7"/>
    <w:rsid w:val="003D44C7"/>
    <w:rsid w:val="003D7DFA"/>
    <w:rsid w:val="003E10F9"/>
    <w:rsid w:val="003E1BBC"/>
    <w:rsid w:val="00400CA3"/>
    <w:rsid w:val="00411362"/>
    <w:rsid w:val="00420D95"/>
    <w:rsid w:val="004310EB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1159"/>
    <w:rsid w:val="005425CE"/>
    <w:rsid w:val="00556182"/>
    <w:rsid w:val="00563E0D"/>
    <w:rsid w:val="00567491"/>
    <w:rsid w:val="005764A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354C6"/>
    <w:rsid w:val="0064385F"/>
    <w:rsid w:val="00646922"/>
    <w:rsid w:val="00651EE2"/>
    <w:rsid w:val="00670042"/>
    <w:rsid w:val="006756E5"/>
    <w:rsid w:val="006835A2"/>
    <w:rsid w:val="00686DF9"/>
    <w:rsid w:val="0069624B"/>
    <w:rsid w:val="006965FB"/>
    <w:rsid w:val="006976D9"/>
    <w:rsid w:val="006A0476"/>
    <w:rsid w:val="006B04C8"/>
    <w:rsid w:val="006B0C94"/>
    <w:rsid w:val="006C37BD"/>
    <w:rsid w:val="006D1C5F"/>
    <w:rsid w:val="006D6EEE"/>
    <w:rsid w:val="006F0086"/>
    <w:rsid w:val="006F4528"/>
    <w:rsid w:val="006F73C8"/>
    <w:rsid w:val="007120B6"/>
    <w:rsid w:val="00712797"/>
    <w:rsid w:val="00716695"/>
    <w:rsid w:val="00720BE6"/>
    <w:rsid w:val="00725BBD"/>
    <w:rsid w:val="00743022"/>
    <w:rsid w:val="00752C70"/>
    <w:rsid w:val="00754168"/>
    <w:rsid w:val="00766BF4"/>
    <w:rsid w:val="00790158"/>
    <w:rsid w:val="007916DA"/>
    <w:rsid w:val="00794693"/>
    <w:rsid w:val="0079684B"/>
    <w:rsid w:val="007A787D"/>
    <w:rsid w:val="007B60B6"/>
    <w:rsid w:val="007C30A9"/>
    <w:rsid w:val="007C69F1"/>
    <w:rsid w:val="007C6FEC"/>
    <w:rsid w:val="007D2FB3"/>
    <w:rsid w:val="007E0CC6"/>
    <w:rsid w:val="007E5893"/>
    <w:rsid w:val="00801621"/>
    <w:rsid w:val="00803F94"/>
    <w:rsid w:val="00824C7B"/>
    <w:rsid w:val="008368AC"/>
    <w:rsid w:val="00842872"/>
    <w:rsid w:val="0085735E"/>
    <w:rsid w:val="00870182"/>
    <w:rsid w:val="00876A1A"/>
    <w:rsid w:val="00890E44"/>
    <w:rsid w:val="00897551"/>
    <w:rsid w:val="008A3B6B"/>
    <w:rsid w:val="008C23EF"/>
    <w:rsid w:val="008C28B0"/>
    <w:rsid w:val="008C451F"/>
    <w:rsid w:val="008E2929"/>
    <w:rsid w:val="008E5964"/>
    <w:rsid w:val="008E5DFA"/>
    <w:rsid w:val="008F3843"/>
    <w:rsid w:val="00906D1E"/>
    <w:rsid w:val="00916125"/>
    <w:rsid w:val="009202B9"/>
    <w:rsid w:val="009242FE"/>
    <w:rsid w:val="00926ABE"/>
    <w:rsid w:val="00956DD6"/>
    <w:rsid w:val="00960D20"/>
    <w:rsid w:val="0098029C"/>
    <w:rsid w:val="00982EE0"/>
    <w:rsid w:val="00985082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30DAF"/>
    <w:rsid w:val="00A41E73"/>
    <w:rsid w:val="00A44172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67DD"/>
    <w:rsid w:val="00AA7FE9"/>
    <w:rsid w:val="00AC62EB"/>
    <w:rsid w:val="00AD20EC"/>
    <w:rsid w:val="00AE2515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76114"/>
    <w:rsid w:val="00B80BC2"/>
    <w:rsid w:val="00B81AD2"/>
    <w:rsid w:val="00B859CB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6105F"/>
    <w:rsid w:val="00C625B6"/>
    <w:rsid w:val="00C83403"/>
    <w:rsid w:val="00C97A14"/>
    <w:rsid w:val="00CA12F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462CD"/>
    <w:rsid w:val="00D61AAA"/>
    <w:rsid w:val="00D64227"/>
    <w:rsid w:val="00D64BDF"/>
    <w:rsid w:val="00D9611D"/>
    <w:rsid w:val="00D96803"/>
    <w:rsid w:val="00DA5C6B"/>
    <w:rsid w:val="00DB143D"/>
    <w:rsid w:val="00DB2FF3"/>
    <w:rsid w:val="00DB4EF8"/>
    <w:rsid w:val="00DD5418"/>
    <w:rsid w:val="00E03E62"/>
    <w:rsid w:val="00E202B1"/>
    <w:rsid w:val="00E2461F"/>
    <w:rsid w:val="00E2479C"/>
    <w:rsid w:val="00E262FB"/>
    <w:rsid w:val="00E26402"/>
    <w:rsid w:val="00E30DA8"/>
    <w:rsid w:val="00E316C8"/>
    <w:rsid w:val="00E33F4B"/>
    <w:rsid w:val="00E50370"/>
    <w:rsid w:val="00E51B7E"/>
    <w:rsid w:val="00E61C30"/>
    <w:rsid w:val="00E66DE5"/>
    <w:rsid w:val="00E67564"/>
    <w:rsid w:val="00E81E42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0658"/>
    <w:rsid w:val="00EF6EB7"/>
    <w:rsid w:val="00F03E2B"/>
    <w:rsid w:val="00F105C5"/>
    <w:rsid w:val="00F16DB7"/>
    <w:rsid w:val="00F20644"/>
    <w:rsid w:val="00F27B05"/>
    <w:rsid w:val="00F311C4"/>
    <w:rsid w:val="00F33BCA"/>
    <w:rsid w:val="00F35FD0"/>
    <w:rsid w:val="00F42140"/>
    <w:rsid w:val="00F422A7"/>
    <w:rsid w:val="00F51C0D"/>
    <w:rsid w:val="00F54892"/>
    <w:rsid w:val="00F65F3C"/>
    <w:rsid w:val="00F66E0B"/>
    <w:rsid w:val="00F725F7"/>
    <w:rsid w:val="00F731CE"/>
    <w:rsid w:val="00F73914"/>
    <w:rsid w:val="00FB4CFA"/>
    <w:rsid w:val="00FB5DFB"/>
    <w:rsid w:val="00FC13CD"/>
    <w:rsid w:val="00FC3A07"/>
    <w:rsid w:val="00FD752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747DB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k-SK" w:eastAsia="en-US"/>
    </w:rPr>
  </w:style>
  <w:style w:type="paragraph" w:styleId="NormalWeb">
    <w:name w:val="Normal (Web)"/>
    <w:basedOn w:val="Normal"/>
    <w:uiPriority w:val="99"/>
    <w:semiHidden/>
    <w:unhideWhenUsed/>
    <w:rsid w:val="00E5037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locked/>
    <w:rsid w:val="00E50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BB9B-A961-49A3-875B-521400DC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Jan Nvota</cp:lastModifiedBy>
  <cp:revision>12</cp:revision>
  <cp:lastPrinted>2022-09-09T09:00:00Z</cp:lastPrinted>
  <dcterms:created xsi:type="dcterms:W3CDTF">2025-07-18T12:57:00Z</dcterms:created>
  <dcterms:modified xsi:type="dcterms:W3CDTF">2025-08-05T09:26:00Z</dcterms:modified>
</cp:coreProperties>
</file>