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0"/>
        <w:gridCol w:w="4316"/>
      </w:tblGrid>
      <w:tr w:rsidR="00EC08D8">
        <w:trPr>
          <w:trHeight w:val="1676"/>
        </w:trPr>
        <w:tc>
          <w:tcPr>
            <w:tcW w:w="4470" w:type="dxa"/>
          </w:tcPr>
          <w:p w:rsidR="00EC08D8" w:rsidRDefault="00E366AE">
            <w:pPr>
              <w:pStyle w:val="TableParagraph"/>
              <w:spacing w:line="189" w:lineRule="exact"/>
              <w:ind w:left="2702"/>
              <w:rPr>
                <w:sz w:val="16"/>
              </w:rPr>
            </w:pPr>
            <w:r>
              <w:rPr>
                <w:sz w:val="16"/>
              </w:rPr>
              <w:t>Republica Serbia</w:t>
            </w:r>
          </w:p>
          <w:p w:rsidR="00EC08D8" w:rsidRDefault="00E366AE">
            <w:pPr>
              <w:pStyle w:val="TableParagraph"/>
              <w:ind w:left="2702" w:right="13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Provincia Autonom[ Voi</w:t>
            </w:r>
            <w:r>
              <w:rPr>
                <w:b/>
                <w:sz w:val="16"/>
              </w:rPr>
              <w:t>Secretariatul Provincial Minoritățile Naționale –</w:t>
            </w:r>
          </w:p>
          <w:p w:rsidR="00EC08D8" w:rsidRDefault="00EC08D8">
            <w:pPr>
              <w:pStyle w:val="TableParagraph"/>
              <w:rPr>
                <w:rFonts w:ascii="Times New Roman"/>
                <w:sz w:val="17"/>
              </w:rPr>
            </w:pPr>
          </w:p>
          <w:p w:rsidR="00EC08D8" w:rsidRDefault="00E366AE">
            <w:pPr>
              <w:pStyle w:val="TableParagraph"/>
              <w:spacing w:before="1"/>
              <w:ind w:left="2702" w:right="64"/>
              <w:jc w:val="both"/>
              <w:rPr>
                <w:sz w:val="16"/>
              </w:rPr>
            </w:pPr>
            <w:r>
              <w:rPr>
                <w:sz w:val="16"/>
              </w:rPr>
              <w:t>Bulevar Mihajla Pupina T: +381 21  487  42 93</w:t>
            </w:r>
          </w:p>
          <w:p w:rsidR="00EC08D8" w:rsidRDefault="00E366AE">
            <w:pPr>
              <w:pStyle w:val="TableParagraph"/>
              <w:ind w:left="2702"/>
              <w:jc w:val="both"/>
              <w:rPr>
                <w:sz w:val="16"/>
              </w:rPr>
            </w:pPr>
            <w:hyperlink r:id="rId4">
              <w:r>
                <w:rPr>
                  <w:color w:val="0000FF"/>
                  <w:sz w:val="16"/>
                  <w:u w:val="single" w:color="0000FF"/>
                </w:rPr>
                <w:t>ounz@vojvodina.gov.rs</w:t>
              </w:r>
            </w:hyperlink>
          </w:p>
        </w:tc>
        <w:tc>
          <w:tcPr>
            <w:tcW w:w="4316" w:type="dxa"/>
          </w:tcPr>
          <w:p w:rsidR="00EC08D8" w:rsidRDefault="00EC08D8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C08D8" w:rsidRDefault="00E366AE">
            <w:pPr>
              <w:pStyle w:val="TableParagraph"/>
              <w:ind w:left="-43"/>
              <w:rPr>
                <w:sz w:val="16"/>
              </w:rPr>
            </w:pPr>
            <w:r>
              <w:rPr>
                <w:sz w:val="16"/>
              </w:rPr>
              <w:t>.</w:t>
            </w:r>
          </w:p>
          <w:p w:rsidR="00EC08D8" w:rsidRDefault="00E366AE">
            <w:pPr>
              <w:pStyle w:val="TableParagraph"/>
              <w:spacing w:before="2"/>
              <w:ind w:left="-28" w:right="1958" w:firstLine="12"/>
              <w:rPr>
                <w:b/>
                <w:sz w:val="16"/>
              </w:rPr>
            </w:pPr>
            <w:r>
              <w:rPr>
                <w:b/>
                <w:sz w:val="16"/>
              </w:rPr>
              <w:t>pentru Educație, Reglementări, Administrație Comunitățile Naționale</w:t>
            </w:r>
          </w:p>
          <w:p w:rsidR="00EC08D8" w:rsidRDefault="00EC08D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C08D8" w:rsidRDefault="00E366AE">
            <w:pPr>
              <w:pStyle w:val="TableParagraph"/>
              <w:ind w:left="-31"/>
              <w:rPr>
                <w:sz w:val="16"/>
              </w:rPr>
            </w:pPr>
            <w:r>
              <w:rPr>
                <w:sz w:val="16"/>
              </w:rPr>
              <w:t>16, 21000 Novi Sad</w:t>
            </w:r>
          </w:p>
        </w:tc>
      </w:tr>
      <w:tr w:rsidR="00EC08D8" w:rsidRPr="00E366AE">
        <w:trPr>
          <w:trHeight w:val="277"/>
        </w:trPr>
        <w:tc>
          <w:tcPr>
            <w:tcW w:w="4470" w:type="dxa"/>
          </w:tcPr>
          <w:p w:rsidR="00EC08D8" w:rsidRPr="00E366AE" w:rsidRDefault="00EC08D8">
            <w:pPr>
              <w:pStyle w:val="TableParagraph"/>
              <w:spacing w:before="80" w:line="177" w:lineRule="exact"/>
              <w:ind w:left="2702" w:right="-15"/>
              <w:rPr>
                <w:b/>
                <w:sz w:val="16"/>
              </w:rPr>
            </w:pPr>
          </w:p>
        </w:tc>
        <w:tc>
          <w:tcPr>
            <w:tcW w:w="4316" w:type="dxa"/>
          </w:tcPr>
          <w:p w:rsidR="00E366AE" w:rsidRPr="00E366AE" w:rsidRDefault="00E366AE" w:rsidP="00E366AE">
            <w:pPr>
              <w:pStyle w:val="TableParagraph"/>
              <w:tabs>
                <w:tab w:val="left" w:pos="2007"/>
              </w:tabs>
              <w:spacing w:before="80" w:line="177" w:lineRule="exact"/>
              <w:rPr>
                <w:b/>
                <w:sz w:val="16"/>
              </w:rPr>
            </w:pPr>
          </w:p>
          <w:p w:rsidR="00E366AE" w:rsidRPr="00E366AE" w:rsidRDefault="00E366AE" w:rsidP="00E366AE">
            <w:pPr>
              <w:widowControl/>
              <w:adjustRightInd w:val="0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5"/>
            </w:tblGrid>
            <w:tr w:rsidR="00E366AE" w:rsidRPr="00E366AE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3535" w:type="dxa"/>
                </w:tcPr>
                <w:p w:rsidR="00E366AE" w:rsidRPr="00E366AE" w:rsidRDefault="00E366AE" w:rsidP="00E366AE">
                  <w:pPr>
                    <w:widowControl/>
                    <w:adjustRightInd w:val="0"/>
                    <w:rPr>
                      <w:rFonts w:eastAsiaTheme="minorHAnsi" w:cs="Calibri"/>
                      <w:color w:val="000000"/>
                      <w:sz w:val="16"/>
                      <w:szCs w:val="16"/>
                      <w:lang w:val="en-US" w:eastAsia="en-US"/>
                    </w:rPr>
                  </w:pPr>
                  <w:r w:rsidRPr="00E366AE">
                    <w:rPr>
                      <w:rFonts w:eastAsiaTheme="minorHAnsi" w:cs="Calibri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rFonts w:eastAsiaTheme="minorHAnsi" w:cs="Calibri"/>
                      <w:color w:val="000000"/>
                      <w:sz w:val="16"/>
                      <w:szCs w:val="16"/>
                      <w:lang w:val="en-US" w:eastAsia="en-US"/>
                    </w:rPr>
                    <w:t>NUMĂRUL</w:t>
                  </w:r>
                  <w:r w:rsidRPr="00E366AE">
                    <w:rPr>
                      <w:rFonts w:eastAsiaTheme="minorHAnsi" w:cs="Calibri"/>
                      <w:color w:val="000000"/>
                      <w:sz w:val="16"/>
                      <w:szCs w:val="16"/>
                      <w:lang w:val="en-US" w:eastAsia="en-US"/>
                    </w:rPr>
                    <w:t xml:space="preserve">: 000236270 2025 09427 005 001 084 010 04 008 </w:t>
                  </w:r>
                </w:p>
              </w:tc>
            </w:tr>
          </w:tbl>
          <w:p w:rsidR="00EC08D8" w:rsidRPr="00E366AE" w:rsidRDefault="00E366AE" w:rsidP="00E366AE">
            <w:pPr>
              <w:pStyle w:val="TableParagraph"/>
              <w:tabs>
                <w:tab w:val="left" w:pos="2007"/>
              </w:tabs>
              <w:spacing w:before="80" w:line="177" w:lineRule="exact"/>
              <w:rPr>
                <w:b/>
                <w:sz w:val="16"/>
              </w:rPr>
            </w:pPr>
            <w:r w:rsidRPr="00E366AE">
              <w:rPr>
                <w:b/>
                <w:sz w:val="16"/>
              </w:rPr>
              <w:tab/>
            </w:r>
            <w:r w:rsidRPr="00E366AE">
              <w:rPr>
                <w:b/>
                <w:sz w:val="16"/>
              </w:rPr>
              <w:t>DATA: 7 aprilie 2025</w:t>
            </w:r>
          </w:p>
        </w:tc>
      </w:tr>
    </w:tbl>
    <w:p w:rsidR="00EC08D8" w:rsidRPr="00E366AE" w:rsidRDefault="00E366AE" w:rsidP="00E366AE">
      <w:pPr>
        <w:pStyle w:val="BodyText"/>
        <w:spacing w:before="56"/>
        <w:ind w:left="0" w:right="872" w:firstLine="720"/>
      </w:pPr>
      <w:r>
        <w:rPr>
          <w:noProof/>
          <w:lang w:val="en-US" w:eastAsia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979805</wp:posOffset>
            </wp:positionH>
            <wp:positionV relativeFrom="paragraph">
              <wp:posOffset>-1331294</wp:posOffset>
            </wp:positionV>
            <wp:extent cx="1495908" cy="9681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908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În baza articolului 11 </w:t>
      </w:r>
      <w:r>
        <w:t>din Hotărârea Adunării Provinciei privind repartizarea mijlocelor bugetare pentru avansarea poziţiei minorităţilor naţionale - comunităţilor naţionale şi dezvoltarea multiculturalismului şi toleranţei („Buletinul oficial al P.A.V.”, numărul 8/2019), artico</w:t>
      </w:r>
      <w:r>
        <w:t>lelor 15 şi 16 alineatul 5 raportat la articolul 24 alineatul 2 şi articolul 37 alineatul 5 din Hotărârea Adunării Provinciei privind administraţia provincială („Buletinul oficial al P.A.V.“ nr. 37/2014, 54/2014 – altă reglementare, 37/2016 , 29/2017 , 24/</w:t>
      </w:r>
      <w:r>
        <w:t>2019, 66/2020 și 38/2021),</w:t>
      </w:r>
      <w:r w:rsidR="00877770">
        <w:t xml:space="preserve"> </w:t>
      </w:r>
      <w:r>
        <w:t>Secretariatul Provincial pentru Educație, Reglementări, Administrație și Minoritățile Naționale – Comunitățile Naționale (în continuare: Secretariatul Provincial) adoptă</w:t>
      </w:r>
    </w:p>
    <w:p w:rsidR="00EC08D8" w:rsidRDefault="00E366AE">
      <w:pPr>
        <w:pStyle w:val="Heading2"/>
        <w:ind w:right="1560"/>
      </w:pPr>
      <w:r>
        <w:t>DECIZIA</w:t>
      </w:r>
    </w:p>
    <w:p w:rsidR="00EC08D8" w:rsidRDefault="00E366AE">
      <w:pPr>
        <w:spacing w:before="1"/>
        <w:ind w:left="1522" w:right="1563"/>
        <w:jc w:val="center"/>
        <w:rPr>
          <w:b/>
        </w:rPr>
      </w:pPr>
      <w:r>
        <w:rPr>
          <w:b/>
        </w:rPr>
        <w:t>PRIVIND REPARTIZAREA MIJLOACELOR BUGETARE CONFORM CONCURSULUI PUBLIC PENTRU COFINANŢAREA SUBPROIECTULUI "MULTICULTU</w:t>
      </w:r>
      <w:r w:rsidR="00877770">
        <w:rPr>
          <w:b/>
        </w:rPr>
        <w:t xml:space="preserve">RALISMUL PE CLIC” ÎN ANUL 2025 </w:t>
      </w:r>
    </w:p>
    <w:p w:rsidR="00EC08D8" w:rsidRDefault="00EC08D8">
      <w:pPr>
        <w:pStyle w:val="BodyText"/>
        <w:ind w:left="0" w:firstLine="0"/>
        <w:jc w:val="left"/>
        <w:rPr>
          <w:b/>
          <w:sz w:val="20"/>
        </w:rPr>
      </w:pPr>
    </w:p>
    <w:p w:rsidR="00EC08D8" w:rsidRDefault="00E366AE">
      <w:pPr>
        <w:spacing w:before="1" w:line="243" w:lineRule="exact"/>
        <w:ind w:right="38"/>
        <w:jc w:val="center"/>
        <w:rPr>
          <w:b/>
          <w:sz w:val="20"/>
        </w:rPr>
      </w:pPr>
      <w:r>
        <w:rPr>
          <w:b/>
          <w:sz w:val="20"/>
        </w:rPr>
        <w:t>I</w:t>
      </w:r>
    </w:p>
    <w:p w:rsidR="00EC08D8" w:rsidRDefault="00E366AE">
      <w:pPr>
        <w:pStyle w:val="BodyText"/>
        <w:ind w:right="826" w:firstLine="540"/>
      </w:pPr>
      <w:r>
        <w:t xml:space="preserve">În baza Concursului public pentru cofinanţarea subproiectului „Multiculturalismul pe clic” în anul 2025, </w:t>
      </w:r>
      <w:r>
        <w:t>publicat pe data de 29 ianuarie 2025 sub numărul 000236270 2025 09427 005 001 084 010, care a fost publicat în „Buletinul oficial al P.A. Voivodina” numărul 6/2025, pe data de 29 ianuarie 2025, mijloacele se alocă următorului semnatar al cererii: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1273"/>
        <w:gridCol w:w="2677"/>
        <w:gridCol w:w="2552"/>
        <w:gridCol w:w="905"/>
      </w:tblGrid>
      <w:tr w:rsidR="00EC08D8">
        <w:trPr>
          <w:trHeight w:val="611"/>
        </w:trPr>
        <w:tc>
          <w:tcPr>
            <w:tcW w:w="3152" w:type="dxa"/>
            <w:shd w:val="clear" w:color="auto" w:fill="C0C0C0"/>
          </w:tcPr>
          <w:p w:rsidR="00EC08D8" w:rsidRDefault="00EC08D8">
            <w:pPr>
              <w:pStyle w:val="TableParagraph"/>
              <w:rPr>
                <w:sz w:val="16"/>
              </w:rPr>
            </w:pPr>
          </w:p>
          <w:p w:rsidR="00EC08D8" w:rsidRDefault="00E366AE">
            <w:pPr>
              <w:pStyle w:val="TableParagraph"/>
              <w:ind w:left="785"/>
              <w:rPr>
                <w:b/>
                <w:sz w:val="18"/>
              </w:rPr>
            </w:pPr>
            <w:r>
              <w:rPr>
                <w:b/>
                <w:sz w:val="18"/>
              </w:rPr>
              <w:t>Benefici</w:t>
            </w:r>
            <w:r>
              <w:rPr>
                <w:b/>
                <w:sz w:val="18"/>
              </w:rPr>
              <w:t>arul de mijloace</w:t>
            </w:r>
          </w:p>
        </w:tc>
        <w:tc>
          <w:tcPr>
            <w:tcW w:w="1273" w:type="dxa"/>
            <w:shd w:val="clear" w:color="auto" w:fill="C0C0C0"/>
          </w:tcPr>
          <w:p w:rsidR="00EC08D8" w:rsidRDefault="00E366AE">
            <w:pPr>
              <w:pStyle w:val="TableParagraph"/>
              <w:spacing w:before="85"/>
              <w:ind w:left="405" w:right="210" w:hanging="166"/>
              <w:rPr>
                <w:b/>
                <w:sz w:val="18"/>
              </w:rPr>
            </w:pPr>
            <w:r>
              <w:rPr>
                <w:b/>
                <w:sz w:val="18"/>
              </w:rPr>
              <w:t>Localitatea</w:t>
            </w:r>
          </w:p>
        </w:tc>
        <w:tc>
          <w:tcPr>
            <w:tcW w:w="2677" w:type="dxa"/>
            <w:shd w:val="clear" w:color="auto" w:fill="C0C0C0"/>
          </w:tcPr>
          <w:p w:rsidR="00EC08D8" w:rsidRDefault="00EC08D8">
            <w:pPr>
              <w:pStyle w:val="TableParagraph"/>
              <w:rPr>
                <w:sz w:val="16"/>
              </w:rPr>
            </w:pPr>
          </w:p>
          <w:p w:rsidR="00EC08D8" w:rsidRDefault="00E366AE">
            <w:pPr>
              <w:pStyle w:val="TableParagraph"/>
              <w:ind w:left="653" w:right="6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Suma alocată</w:t>
            </w:r>
          </w:p>
        </w:tc>
        <w:tc>
          <w:tcPr>
            <w:tcW w:w="2552" w:type="dxa"/>
            <w:shd w:val="clear" w:color="auto" w:fill="C0C0C0"/>
          </w:tcPr>
          <w:p w:rsidR="00EC08D8" w:rsidRDefault="00EC08D8">
            <w:pPr>
              <w:pStyle w:val="TableParagraph"/>
              <w:rPr>
                <w:sz w:val="16"/>
              </w:rPr>
            </w:pPr>
          </w:p>
          <w:p w:rsidR="00EC08D8" w:rsidRDefault="00E366AE">
            <w:pPr>
              <w:pStyle w:val="TableParagraph"/>
              <w:ind w:left="699"/>
              <w:rPr>
                <w:b/>
                <w:sz w:val="18"/>
              </w:rPr>
            </w:pPr>
            <w:r>
              <w:rPr>
                <w:b/>
                <w:sz w:val="18"/>
              </w:rPr>
              <w:t>Număr de dosar</w:t>
            </w:r>
          </w:p>
        </w:tc>
        <w:tc>
          <w:tcPr>
            <w:tcW w:w="905" w:type="dxa"/>
            <w:shd w:val="clear" w:color="auto" w:fill="C0C0C0"/>
          </w:tcPr>
          <w:p w:rsidR="00EC08D8" w:rsidRDefault="00E366AE">
            <w:pPr>
              <w:pStyle w:val="TableParagraph"/>
              <w:spacing w:before="85"/>
              <w:ind w:left="166" w:right="137" w:firstLine="117"/>
              <w:rPr>
                <w:b/>
                <w:sz w:val="18"/>
              </w:rPr>
            </w:pPr>
            <w:r>
              <w:rPr>
                <w:b/>
                <w:sz w:val="18"/>
              </w:rPr>
              <w:t>Numărul de puncte</w:t>
            </w:r>
          </w:p>
        </w:tc>
      </w:tr>
      <w:tr w:rsidR="00EC08D8">
        <w:trPr>
          <w:trHeight w:val="659"/>
        </w:trPr>
        <w:tc>
          <w:tcPr>
            <w:tcW w:w="3152" w:type="dxa"/>
          </w:tcPr>
          <w:p w:rsidR="00EC08D8" w:rsidRDefault="00E366AE">
            <w:pPr>
              <w:pStyle w:val="TableParagraph"/>
              <w:ind w:left="107" w:right="299"/>
              <w:rPr>
                <w:sz w:val="18"/>
              </w:rPr>
            </w:pPr>
            <w:r>
              <w:rPr>
                <w:sz w:val="18"/>
              </w:rPr>
              <w:t>Forumul pentru educaţie, cooperare, afirmare şi sprijin societăţii civice</w:t>
            </w:r>
          </w:p>
          <w:p w:rsidR="00EC08D8" w:rsidRDefault="00E366AE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-FESAP</w:t>
            </w:r>
          </w:p>
        </w:tc>
        <w:tc>
          <w:tcPr>
            <w:tcW w:w="1273" w:type="dxa"/>
          </w:tcPr>
          <w:p w:rsidR="00EC08D8" w:rsidRDefault="00EC08D8">
            <w:pPr>
              <w:pStyle w:val="TableParagraph"/>
              <w:spacing w:before="12"/>
              <w:rPr>
                <w:sz w:val="17"/>
              </w:rPr>
            </w:pPr>
          </w:p>
          <w:p w:rsidR="00EC08D8" w:rsidRDefault="00E366A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Novi Sad</w:t>
            </w:r>
          </w:p>
        </w:tc>
        <w:tc>
          <w:tcPr>
            <w:tcW w:w="2677" w:type="dxa"/>
          </w:tcPr>
          <w:p w:rsidR="00EC08D8" w:rsidRDefault="00EC08D8">
            <w:pPr>
              <w:pStyle w:val="TableParagraph"/>
              <w:spacing w:before="12"/>
              <w:rPr>
                <w:sz w:val="17"/>
              </w:rPr>
            </w:pPr>
          </w:p>
          <w:p w:rsidR="00EC08D8" w:rsidRDefault="00E366AE">
            <w:pPr>
              <w:pStyle w:val="TableParagraph"/>
              <w:ind w:left="653" w:right="644"/>
              <w:jc w:val="center"/>
              <w:rPr>
                <w:sz w:val="18"/>
              </w:rPr>
            </w:pPr>
            <w:r>
              <w:rPr>
                <w:sz w:val="18"/>
              </w:rPr>
              <w:t>800.000,00</w:t>
            </w:r>
          </w:p>
        </w:tc>
        <w:tc>
          <w:tcPr>
            <w:tcW w:w="2552" w:type="dxa"/>
          </w:tcPr>
          <w:p w:rsidR="00EC08D8" w:rsidRDefault="00E366AE">
            <w:pPr>
              <w:pStyle w:val="TableParagraph"/>
              <w:spacing w:before="109"/>
              <w:ind w:left="390" w:right="387"/>
              <w:jc w:val="center"/>
              <w:rPr>
                <w:sz w:val="18"/>
              </w:rPr>
            </w:pPr>
            <w:r>
              <w:rPr>
                <w:sz w:val="18"/>
              </w:rPr>
              <w:t>000533896 2025 09427</w:t>
            </w:r>
          </w:p>
          <w:p w:rsidR="00EC08D8" w:rsidRDefault="00E366AE">
            <w:pPr>
              <w:pStyle w:val="TableParagraph"/>
              <w:spacing w:before="1"/>
              <w:ind w:left="390" w:right="384"/>
              <w:jc w:val="center"/>
              <w:rPr>
                <w:sz w:val="18"/>
              </w:rPr>
            </w:pPr>
            <w:r>
              <w:rPr>
                <w:sz w:val="18"/>
              </w:rPr>
              <w:t>005 001 000 001</w:t>
            </w:r>
          </w:p>
        </w:tc>
        <w:tc>
          <w:tcPr>
            <w:tcW w:w="905" w:type="dxa"/>
          </w:tcPr>
          <w:p w:rsidR="00EC08D8" w:rsidRDefault="00EC08D8">
            <w:pPr>
              <w:pStyle w:val="TableParagraph"/>
              <w:spacing w:before="12"/>
              <w:rPr>
                <w:sz w:val="17"/>
              </w:rPr>
            </w:pPr>
          </w:p>
          <w:p w:rsidR="00EC08D8" w:rsidRDefault="00E366AE">
            <w:pPr>
              <w:pStyle w:val="TableParagraph"/>
              <w:ind w:left="340" w:right="33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</w:tbl>
    <w:p w:rsidR="00EC08D8" w:rsidRDefault="00EC08D8">
      <w:pPr>
        <w:pStyle w:val="BodyText"/>
        <w:spacing w:before="12"/>
        <w:ind w:left="0" w:firstLine="0"/>
        <w:jc w:val="left"/>
        <w:rPr>
          <w:sz w:val="19"/>
        </w:rPr>
      </w:pPr>
    </w:p>
    <w:p w:rsidR="00EC08D8" w:rsidRDefault="00E366AE">
      <w:pPr>
        <w:spacing w:line="244" w:lineRule="exact"/>
        <w:ind w:left="1522" w:right="1560"/>
        <w:jc w:val="center"/>
        <w:rPr>
          <w:b/>
          <w:sz w:val="20"/>
        </w:rPr>
      </w:pPr>
      <w:r>
        <w:rPr>
          <w:b/>
          <w:sz w:val="20"/>
        </w:rPr>
        <w:t>II</w:t>
      </w:r>
    </w:p>
    <w:p w:rsidR="00EC08D8" w:rsidRDefault="00E366AE" w:rsidP="00E366AE">
      <w:pPr>
        <w:pStyle w:val="BodyText"/>
        <w:ind w:right="874"/>
      </w:pPr>
      <w:r>
        <w:t>Prezenta decizie privind repartizarea mijloacelor bugetare este definitivă şi se publică pe pagina internet a Secretariatului Provincial.</w:t>
      </w:r>
      <w:bookmarkStart w:id="0" w:name="_GoBack"/>
      <w:bookmarkEnd w:id="0"/>
    </w:p>
    <w:p w:rsidR="00EC08D8" w:rsidRDefault="00E366AE">
      <w:pPr>
        <w:pStyle w:val="Heading2"/>
        <w:ind w:left="1399"/>
      </w:pPr>
      <w:r>
        <w:t>Expunerea de motive:</w:t>
      </w:r>
    </w:p>
    <w:p w:rsidR="00EC08D8" w:rsidRDefault="00EC08D8">
      <w:pPr>
        <w:pStyle w:val="BodyText"/>
        <w:spacing w:before="10"/>
        <w:ind w:left="0" w:firstLine="0"/>
        <w:jc w:val="left"/>
        <w:rPr>
          <w:b/>
          <w:sz w:val="21"/>
        </w:rPr>
      </w:pPr>
    </w:p>
    <w:p w:rsidR="00EC08D8" w:rsidRDefault="00E366AE">
      <w:pPr>
        <w:pStyle w:val="BodyText"/>
        <w:ind w:right="869"/>
      </w:pPr>
      <w:r>
        <w:t>În baza art. 11 în conformitate cu art. 23, alineatul 3 şi articolul 25, din Hotărârea Adunării</w:t>
      </w:r>
      <w:r>
        <w:t xml:space="preserve"> Provinciei privind bugetul Provinciei Autonome Voivodina pentru anul 2025 („Buletinul oficial al P.A.V.”, numărul 57/2024) și art. 7, din Hotărârea Adunării Provinciei privind repartizarea mijlocelor bugetare pentru avansarea poziţiei minorităţilor naţion</w:t>
      </w:r>
      <w:r>
        <w:t xml:space="preserve">ale - comunităţilor naţionale şi dezvoltarea multiculturalismului şi toleranţei, Secretariatul Provincial pentru Educaţie, Reglementări, Administraţie şi Minorităţile Naţionale - Comunităţile Naţionale (în continuare: Secretariatul), pe data de 29.01.2025 </w:t>
      </w:r>
      <w:r>
        <w:t>a publicat Concurs public pentru cofinanţarea subproiectului "Multiculturalismul pe clic în anul 2025, sub numărul 000236270 2025 09427 005 001 084 010.</w:t>
      </w:r>
    </w:p>
    <w:p w:rsidR="00EC08D8" w:rsidRDefault="00E366AE">
      <w:pPr>
        <w:pStyle w:val="BodyText"/>
        <w:spacing w:before="2"/>
        <w:ind w:right="872"/>
      </w:pPr>
      <w:r>
        <w:t>Prin Hotărârea Adunării Provinciei privind repartizarea mijlocelor bugetare pentru avansarea poziţiei m</w:t>
      </w:r>
      <w:r>
        <w:t>inorităţilor naţionale - comunităţilor naţionale şi dezvoltarea multiculturalismului şi toleranţei se stipulează destinaţia, modul şi procedura de repartizare a mijloacelor bugetare pentru cofinanţarea programelor şi proiectelor pentru avansarea poziţiei m</w:t>
      </w:r>
      <w:r>
        <w:t>inorităţilor naţionale - comunităţilor naţionale şi dezvoltarea multiculturalismului şi toleranţei pe teritoriul Provinciei Autonome Voivodina.</w:t>
      </w:r>
    </w:p>
    <w:p w:rsidR="00EC08D8" w:rsidRDefault="00E366AE">
      <w:pPr>
        <w:pStyle w:val="BodyText"/>
        <w:ind w:right="873"/>
      </w:pPr>
      <w:r>
        <w:t>Mijloacele menţionate se asigură în bugetul P.A. Voivodina şi se ţin în partea specială a bugetului organului provincial al administraţiei competent pentru domeniul minorităţilor naţionale - comunităţilor naţionale.</w:t>
      </w:r>
    </w:p>
    <w:p w:rsidR="00EC08D8" w:rsidRDefault="00E366AE" w:rsidP="00877770">
      <w:pPr>
        <w:pStyle w:val="Heading1"/>
        <w:spacing w:before="90"/>
      </w:pPr>
      <w:r>
        <w:t>1</w:t>
      </w:r>
    </w:p>
    <w:p w:rsidR="00EC08D8" w:rsidRDefault="00E366AE">
      <w:pPr>
        <w:pStyle w:val="BodyText"/>
        <w:spacing w:before="34"/>
        <w:ind w:right="871"/>
      </w:pPr>
      <w:r>
        <w:lastRenderedPageBreak/>
        <w:t>În baza concursului d</w:t>
      </w:r>
      <w:r>
        <w:t xml:space="preserve">esfăşurat în conformitate cu art. 23, alineatul 3 şi articolul 25, din Hotărârea Adunării Provinciei privind bugetul Provinciei Autonome Voivodina pentru anul 2025 și volumului de mijloace asigurate pentru destinațiile menționate, stabilite la art. 11 din </w:t>
      </w:r>
      <w:r>
        <w:t>aceeaşi hotărâre, s-a efectuat repartizarea mijloacelor conform cererilor la concurs sosite.</w:t>
      </w:r>
    </w:p>
    <w:p w:rsidR="00EC08D8" w:rsidRDefault="00E366AE">
      <w:pPr>
        <w:pStyle w:val="BodyText"/>
        <w:ind w:right="872"/>
      </w:pPr>
      <w:r>
        <w:t>Drept la repartizarea mijloacelor bugetare ale Secretariatului pentru avansarea poziţiei minorităţilor naţionale - comunităţilor naţionale au asociaţiile, fonduril</w:t>
      </w:r>
      <w:r>
        <w:t>e şi fundaţiile persoanelor aparţinând minorităţilor naţionale - comunităţilor naţionale, al căror sediu este înregistrat pe teritoriul P.A. Voivodina.</w:t>
      </w:r>
    </w:p>
    <w:p w:rsidR="00EC08D8" w:rsidRDefault="00E366AE">
      <w:pPr>
        <w:pStyle w:val="BodyText"/>
        <w:ind w:right="872"/>
      </w:pPr>
      <w:r>
        <w:t>Prin articolul 15 din Hotărârea Adunării Provinciei privind administraţia provincială se stabileşte că î</w:t>
      </w:r>
      <w:r>
        <w:t xml:space="preserve">n vederea executării legilor, altor reglementări şi acte generale ale Republicii Serbia, reglementărilor Adunării şi Guvernului Provincial, organele provinciale ale administraţiei adoptă reglementări şi acte individuale, atunci când sunt autorizate pentru </w:t>
      </w:r>
      <w:r>
        <w:t>aceasta, iar prin articolul 16 alineatul 5 din aceeaşi hotărâre, că prin decizie se hotărăşte despre actele individuale, în conformitate cu reglementările. În conformitate cu art. 24 alineatul 2 secretarul provincial reprezintă Secretariatul, organizează ş</w:t>
      </w:r>
      <w:r>
        <w:t>i asigură efectuarea activităţilor în mod eficace, emite actele pentru care este autorizat, formează comisii şi grupuri de lucru în vederea efectuării activităţilor mai complexe din sfera de atribuţii a Secretariatului şi decide cu privire la drepturile, s</w:t>
      </w:r>
      <w:r>
        <w:t>arcinile şi responsabilităţile angajaţilor. În baza articolului 37 alineatul 5 se stabileşte că Secretariatul, în conformitate cu Legea, efectuează activităţile administraţiei provinciale care se referă la pregătirea actelor pentru Adunare sau Guvernul Pro</w:t>
      </w:r>
      <w:r>
        <w:t>vincial, şi prin care, printre altele: se contribuie la dezvoltarea interculturalismului, afirmării multiculturalismului, toleranţei şi convieţuirii minorităţilor naţionale - comunităţilor naţionale care trăiesc pe teritoriul P.A Voivodina; se asigură exer</w:t>
      </w:r>
      <w:r>
        <w:t>citarea drepturilor în domeniul drepturilor omului şi a drepturilor minorităţilor naţionale - comunităţilor naţionale şi se stabilesc drepturi suplimentare ale persoanelor aparţinând minorităţilor naţionale - comunităţilor naţionale; se asigură mijloace pe</w:t>
      </w:r>
      <w:r>
        <w:t>ntru finanţarea, respectiv cofinanţarea consiliilor naţionale ale minorităţilor naţionale, asociaţiilor şi organizaţiilor minorităţilor naţionale - comunităţilor naţionale, precum şi avansarea exercitării drepturilor persoanelor aparţinând minorităţilor na</w:t>
      </w:r>
      <w:r>
        <w:t>ţionale - comunităţilor naţionale din teritoriul P.A. Voivodina.</w:t>
      </w:r>
    </w:p>
    <w:p w:rsidR="00EC08D8" w:rsidRDefault="00E366AE">
      <w:pPr>
        <w:pStyle w:val="BodyText"/>
        <w:ind w:right="870"/>
      </w:pPr>
      <w:r>
        <w:t>Comisia de concurs pentru desfăşurarea procedurii de repartizare a mijloacelor bugetare în baza Concursului public pentru cofinanţarea subproiectului „Multiculturalismul pe clic” în anul 2025</w:t>
      </w:r>
      <w:r>
        <w:t>, este înfiinţată prin decizia nr. 000236270 2025 09427 005 001 084 010 din 24 februarie 2025.  Comisia s-a întrunit  pe data de 24.03.2025 şi în urma examinării şi evaluării cererilor depuse de asociaţii, fonduri şi fundaţii la concursul menţionat, a stab</w:t>
      </w:r>
      <w:r>
        <w:t>ilit Lista de evaluare, punctaj şi clasament al programelor/proiectelor prezentate numărul: 000236270 2025  09427  005 001</w:t>
      </w:r>
    </w:p>
    <w:p w:rsidR="00EC08D8" w:rsidRDefault="00E366AE">
      <w:pPr>
        <w:pStyle w:val="BodyText"/>
        <w:ind w:right="871" w:firstLine="0"/>
      </w:pPr>
      <w:r>
        <w:t>084 010 29 007 care este publicată pe pagina de internet a Secrteariatului Provincial la 25.03.2025.  Participanții la concurs au avu</w:t>
      </w:r>
      <w:r>
        <w:t>t drept la recurs împotriva evaluării și clasificării programelor/proiectelor anunţate, în termen de 8 zile de la data publicării acesteia. În termenul stabilit pentru depunerea recursurilor, nu a sosit niciun recurs asupra Listei de evaluare, punctaj și c</w:t>
      </w:r>
      <w:r>
        <w:t>lasament. În urma expirării termenului de prezentare a recursului, Comisia de concurs a trimis propunerea către secretarul provincial pentru emiterea deciziei definitive cu privire la alegerea programului/proiectului pentru repartizarea mijloacelor conform</w:t>
      </w:r>
      <w:r>
        <w:t xml:space="preserve"> Concursului public pentru cofinanţarea subproiectului „Multiculturalismul pe clic” în anul 2025.</w:t>
      </w:r>
    </w:p>
    <w:p w:rsidR="00EC08D8" w:rsidRDefault="00E366AE">
      <w:pPr>
        <w:pStyle w:val="BodyText"/>
        <w:spacing w:before="2"/>
        <w:ind w:right="874"/>
      </w:pPr>
      <w:r>
        <w:t xml:space="preserve">În baza articolul 11 alineatul 3 din Hotărârea Adunării Provinciei privind repartizarea mijlocelor bugetare pentru avansarea poziţiei minorităţilor naţionale </w:t>
      </w:r>
      <w:r>
        <w:t>- comunităţilor naţionale şi dezvoltarea multiculturalismului şi toleranţei, se prescrie că decizia secretarului provincial privind alegerea este definitivă. Obligațiile reciproce, dintre Secretariat și beneficiarii de mijloace, se stabilesc aparte şi se p</w:t>
      </w:r>
      <w:r>
        <w:t>reiau în baza contractului scris.</w:t>
      </w:r>
    </w:p>
    <w:p w:rsidR="00EC08D8" w:rsidRDefault="00E366AE">
      <w:pPr>
        <w:pStyle w:val="BodyText"/>
        <w:ind w:right="870"/>
      </w:pPr>
      <w:r>
        <w:t>În conformitate cu cele menționate, raportat la articolul 11, din Hotărârea Adunării Provinciei privind repartizarea mijlocelor bugetare pentru avansarea poziţiei minorităţilor naţionale - comunităţilor naţionale şi dezvol</w:t>
      </w:r>
      <w:r>
        <w:t>tarea multiculturalismului şi toleranţei, la propunerea comisiei de concurs pentru desfăşurarea procedurii de repartizare a mijloacelor bugetare în baza Concursului public pentru cofinanţarea subproiectului „Multiculturalismul pe clic” în anul 2025, secret</w:t>
      </w:r>
      <w:r>
        <w:t>arul provincial a emis decizia precum în dispozitiv.</w:t>
      </w:r>
    </w:p>
    <w:p w:rsidR="00EC08D8" w:rsidRDefault="00E366AE">
      <w:pPr>
        <w:pStyle w:val="BodyText"/>
        <w:ind w:left="7307" w:right="1814" w:hanging="416"/>
        <w:jc w:val="left"/>
      </w:pPr>
      <w:r>
        <w:t>Secretar provincial</w:t>
      </w:r>
      <w:r>
        <w:br/>
        <w:t>Róbert Ótott</w:t>
      </w:r>
    </w:p>
    <w:p w:rsidR="00EC08D8" w:rsidRDefault="00E366AE">
      <w:pPr>
        <w:pStyle w:val="Heading1"/>
      </w:pPr>
      <w:r>
        <w:pict>
          <v:group id="_x0000_s1026" style="position:absolute;left:0;text-align:left;margin-left:399.4pt;margin-top:6.5pt;width:82.9pt;height:38.7pt;z-index:1072;mso-position-horizontal-relative:page" coordorigin="7988,130" coordsize="1658,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032;top:360;width:442;height:23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988;top:131;width:1656;height:772" filled="f" strokeweight=".02567mm">
              <v:textbox inset="0,0,0,0">
                <w:txbxContent>
                  <w:p w:rsidR="00EC08D8" w:rsidRDefault="00E366AE">
                    <w:pPr>
                      <w:spacing w:before="4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Republica Serbia</w:t>
                    </w:r>
                  </w:p>
                  <w:p w:rsidR="00EC08D8" w:rsidRDefault="00E366AE">
                    <w:pPr>
                      <w:spacing w:before="5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Provincia Autonomă Voivodina</w:t>
                    </w:r>
                  </w:p>
                  <w:p w:rsidR="00EC08D8" w:rsidRDefault="00E366AE">
                    <w:pPr>
                      <w:spacing w:before="5" w:line="290" w:lineRule="auto"/>
                      <w:ind w:left="539" w:right="22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Secretariatul Provincial pentru Educaţie, Reglementări, Administraţie şi Minorităţile Naţionale - Comunităţile Naţionale, Novi Sad</w:t>
                    </w:r>
                  </w:p>
                  <w:p w:rsidR="00EC08D8" w:rsidRDefault="00E366AE">
                    <w:pPr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Szerb Köztársaság,</w:t>
                    </w:r>
                  </w:p>
                  <w:p w:rsidR="00EC08D8" w:rsidRDefault="00E366AE">
                    <w:pPr>
                      <w:spacing w:before="5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Vajdaság Autonóm Tartomány</w:t>
                    </w:r>
                  </w:p>
                  <w:p w:rsidR="00EC08D8" w:rsidRDefault="00E366AE">
                    <w:pPr>
                      <w:spacing w:before="6" w:line="290" w:lineRule="auto"/>
                      <w:ind w:left="539" w:right="118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Tartományi Oktatási, Jogalkotási, Közigazgatási és Nemzeti Kisebbségi – Nemzeti Közösségi Titkárság Újvidék</w:t>
                    </w:r>
                  </w:p>
                  <w:p w:rsidR="00EC08D8" w:rsidRDefault="00E366AE">
                    <w:pPr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Srbská republika</w:t>
                    </w:r>
                  </w:p>
                  <w:p w:rsidR="00EC08D8" w:rsidRDefault="00E366AE">
                    <w:pPr>
                      <w:spacing w:before="5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Autonómna pokrajina Vojvodina</w:t>
                    </w:r>
                  </w:p>
                  <w:p w:rsidR="00EC08D8" w:rsidRDefault="00E366AE">
                    <w:pPr>
                      <w:spacing w:before="5" w:line="292" w:lineRule="auto"/>
                      <w:ind w:left="539" w:right="17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Pokrajinský sekretariát vzdelávania, predpisov, správy a národnostných menšín – národnostných spoloče</w:t>
                    </w:r>
                    <w:r>
                      <w:rPr>
                        <w:sz w:val="2"/>
                      </w:rPr>
                      <w:t>nstiev Nový Sad</w:t>
                    </w:r>
                  </w:p>
                  <w:p w:rsidR="00EC08D8" w:rsidRDefault="00E366AE">
                    <w:pPr>
                      <w:spacing w:line="24" w:lineRule="exact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Republica Serbia</w:t>
                    </w:r>
                  </w:p>
                  <w:p w:rsidR="00EC08D8" w:rsidRDefault="00E366AE">
                    <w:pPr>
                      <w:spacing w:before="5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Provincia Autonomă Voivodina</w:t>
                    </w:r>
                  </w:p>
                  <w:p w:rsidR="00EC08D8" w:rsidRDefault="00E366AE">
                    <w:pPr>
                      <w:spacing w:before="6" w:line="290" w:lineRule="auto"/>
                      <w:ind w:left="539" w:right="143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Pokrajinsko tajništvo za obrazovanje, propise, upravu i nacionalne manjine – nacionalne zajednice Novi Sad</w:t>
                    </w:r>
                  </w:p>
                  <w:p w:rsidR="00EC08D8" w:rsidRDefault="00E366AE">
                    <w:pPr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Republica Serbia</w:t>
                    </w:r>
                  </w:p>
                  <w:p w:rsidR="00EC08D8" w:rsidRDefault="00E366AE">
                    <w:pPr>
                      <w:spacing w:before="5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Provincia Autonomă Voivodina</w:t>
                    </w:r>
                  </w:p>
                  <w:p w:rsidR="00EC08D8" w:rsidRDefault="00E366AE">
                    <w:pPr>
                      <w:spacing w:before="5" w:line="292" w:lineRule="auto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Secretariatul  Provincial  pentru  Educaţ</w:t>
                    </w:r>
                    <w:r>
                      <w:rPr>
                        <w:sz w:val="2"/>
                      </w:rPr>
                      <w:t>ie,  Reglementări,  Administraţie  şi  Minorităţile  Naţionale-Comunităţile Naţionale</w:t>
                    </w:r>
                  </w:p>
                  <w:p w:rsidR="00EC08D8" w:rsidRDefault="00E366AE">
                    <w:pPr>
                      <w:spacing w:line="24" w:lineRule="exact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Novi Sad</w:t>
                    </w:r>
                  </w:p>
                  <w:p w:rsidR="00EC08D8" w:rsidRDefault="00E366AE">
                    <w:pPr>
                      <w:spacing w:before="5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Република Сербия</w:t>
                    </w:r>
                  </w:p>
                  <w:p w:rsidR="00EC08D8" w:rsidRDefault="00E366AE">
                    <w:pPr>
                      <w:spacing w:before="6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Автономна Покраїна Войводина</w:t>
                    </w:r>
                  </w:p>
                  <w:p w:rsidR="00EC08D8" w:rsidRDefault="00E366AE">
                    <w:pPr>
                      <w:spacing w:before="5" w:line="290" w:lineRule="auto"/>
                      <w:ind w:left="539" w:right="22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Покраїнски  секретарият  за  образованє,  предписаня,  управу  и   национални   меншини-национални заєднїци</w:t>
                    </w:r>
                  </w:p>
                  <w:p w:rsidR="00EC08D8" w:rsidRDefault="00E366AE">
                    <w:pPr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Novi Sad</w:t>
                    </w:r>
                  </w:p>
                </w:txbxContent>
              </v:textbox>
            </v:shape>
            <w10:wrap anchorx="page"/>
          </v:group>
        </w:pict>
      </w:r>
      <w:r w:rsidR="00877770">
        <w:t>2</w:t>
      </w:r>
    </w:p>
    <w:sectPr w:rsidR="00EC08D8">
      <w:pgSz w:w="11910" w:h="16840"/>
      <w:pgMar w:top="94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08D8"/>
    <w:rsid w:val="002707ED"/>
    <w:rsid w:val="00877770"/>
    <w:rsid w:val="00E366AE"/>
    <w:rsid w:val="00EC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80B9F1E"/>
  <w15:docId w15:val="{56376DFE-2912-444B-90D4-83968D9C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spacing w:before="78"/>
      <w:ind w:right="38"/>
      <w:jc w:val="center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522" w:right="156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firstLine="707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ounz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Vladimir Mitrovic</cp:lastModifiedBy>
  <cp:revision>7</cp:revision>
  <dcterms:created xsi:type="dcterms:W3CDTF">2025-04-07T12:41:00Z</dcterms:created>
  <dcterms:modified xsi:type="dcterms:W3CDTF">2025-04-07T13:13:00Z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</Properties>
</file>