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4438"/>
      </w:tblGrid>
      <w:tr w:rsidR="00F13A3A" w:rsidTr="00914BE8">
        <w:trPr>
          <w:trHeight w:val="2314"/>
        </w:trPr>
        <w:tc>
          <w:tcPr>
            <w:tcW w:w="2310" w:type="dxa"/>
          </w:tcPr>
          <w:p w:rsidR="00F13A3A" w:rsidRDefault="00914BE8" w:rsidP="00914BE8">
            <w:pPr>
              <w:pStyle w:val="TableParagraph"/>
              <w:spacing w:before="1"/>
              <w:ind w:right="2076"/>
              <w:jc w:val="both"/>
              <w:rPr>
                <w:sz w:val="20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 wp14:anchorId="13E432FC">
                  <wp:extent cx="1383665" cy="895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>Srbská republika</w:t>
            </w: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 xml:space="preserve">Autonómna </w:t>
            </w:r>
            <w:proofErr w:type="spellStart"/>
            <w:r w:rsidRPr="00914BE8">
              <w:rPr>
                <w:sz w:val="20"/>
              </w:rPr>
              <w:t>pokrajina</w:t>
            </w:r>
            <w:proofErr w:type="spellEnd"/>
            <w:r w:rsidRPr="00914BE8">
              <w:rPr>
                <w:sz w:val="20"/>
              </w:rPr>
              <w:t xml:space="preserve"> Vojvodina</w:t>
            </w: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proofErr w:type="spellStart"/>
            <w:r w:rsidRPr="00914BE8">
              <w:rPr>
                <w:sz w:val="20"/>
              </w:rPr>
              <w:t>Pokrajinský</w:t>
            </w:r>
            <w:proofErr w:type="spellEnd"/>
            <w:r w:rsidRPr="00914BE8">
              <w:rPr>
                <w:sz w:val="20"/>
              </w:rPr>
              <w:t xml:space="preserve"> sekretariát vzdelávania, predpisov,</w:t>
            </w: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>správy a národnostných menšín – národnostných spoločenstiev</w:t>
            </w: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 xml:space="preserve">Bulvár </w:t>
            </w:r>
            <w:proofErr w:type="spellStart"/>
            <w:r w:rsidRPr="00914BE8">
              <w:rPr>
                <w:sz w:val="20"/>
              </w:rPr>
              <w:t>Mihajla</w:t>
            </w:r>
            <w:proofErr w:type="spellEnd"/>
            <w:r w:rsidRPr="00914BE8">
              <w:rPr>
                <w:sz w:val="20"/>
              </w:rPr>
              <w:t xml:space="preserve"> </w:t>
            </w:r>
            <w:proofErr w:type="spellStart"/>
            <w:r w:rsidRPr="00914BE8">
              <w:rPr>
                <w:sz w:val="20"/>
              </w:rPr>
              <w:t>Pupina</w:t>
            </w:r>
            <w:proofErr w:type="spellEnd"/>
            <w:r w:rsidRPr="00914BE8">
              <w:rPr>
                <w:sz w:val="20"/>
              </w:rPr>
              <w:t xml:space="preserve"> 16, 21 000 Nový Sad</w:t>
            </w:r>
          </w:p>
          <w:p w:rsidR="00914BE8" w:rsidRPr="00914BE8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>T: +381 21  487  46 77</w:t>
            </w:r>
          </w:p>
          <w:p w:rsidR="00F13A3A" w:rsidRDefault="00914BE8" w:rsidP="00914BE8">
            <w:pPr>
              <w:pStyle w:val="TableParagraph"/>
              <w:ind w:left="-16" w:right="-138"/>
              <w:rPr>
                <w:sz w:val="20"/>
              </w:rPr>
            </w:pPr>
            <w:r w:rsidRPr="00914BE8">
              <w:rPr>
                <w:sz w:val="20"/>
              </w:rPr>
              <w:t>ounz@vojvodinа.gov.rs</w:t>
            </w:r>
          </w:p>
        </w:tc>
      </w:tr>
      <w:tr w:rsidR="00F13A3A" w:rsidTr="00914BE8">
        <w:trPr>
          <w:trHeight w:val="298"/>
        </w:trPr>
        <w:tc>
          <w:tcPr>
            <w:tcW w:w="2310" w:type="dxa"/>
          </w:tcPr>
          <w:p w:rsidR="00F13A3A" w:rsidRDefault="00F13A3A">
            <w:pPr>
              <w:pStyle w:val="TableParagraph"/>
              <w:spacing w:before="77" w:line="201" w:lineRule="exact"/>
              <w:ind w:left="2702"/>
              <w:rPr>
                <w:sz w:val="18"/>
              </w:rPr>
            </w:pPr>
          </w:p>
        </w:tc>
        <w:tc>
          <w:tcPr>
            <w:tcW w:w="4438" w:type="dxa"/>
          </w:tcPr>
          <w:p w:rsidR="00F13A3A" w:rsidRDefault="00F13A3A">
            <w:pPr>
              <w:pStyle w:val="TableParagraph"/>
              <w:tabs>
                <w:tab w:val="left" w:pos="2140"/>
              </w:tabs>
              <w:spacing w:before="77" w:line="201" w:lineRule="exact"/>
              <w:ind w:left="4"/>
              <w:rPr>
                <w:sz w:val="18"/>
              </w:rPr>
            </w:pPr>
          </w:p>
        </w:tc>
      </w:tr>
    </w:tbl>
    <w:p w:rsidR="00F13A3A" w:rsidRDefault="00F13A3A">
      <w:pPr>
        <w:pStyle w:val="BodyText"/>
        <w:spacing w:before="9"/>
        <w:rPr>
          <w:rFonts w:ascii="Times New Roman"/>
          <w:sz w:val="13"/>
        </w:rPr>
      </w:pPr>
    </w:p>
    <w:p w:rsidR="00914BE8" w:rsidRDefault="00914BE8">
      <w:pPr>
        <w:pStyle w:val="BodyText"/>
        <w:spacing w:before="59"/>
        <w:ind w:left="816" w:right="695" w:firstLine="540"/>
        <w:jc w:val="both"/>
        <w:rPr>
          <w:sz w:val="18"/>
        </w:rPr>
      </w:pPr>
      <w:r>
        <w:rPr>
          <w:sz w:val="18"/>
        </w:rPr>
        <w:t>ČÍSLO: 001736310 2025</w:t>
      </w:r>
      <w:r>
        <w:rPr>
          <w:sz w:val="18"/>
        </w:rPr>
        <w:t xml:space="preserve">     </w:t>
      </w:r>
      <w:r>
        <w:rPr>
          <w:sz w:val="18"/>
        </w:rPr>
        <w:t>09427 005 001 000 001</w:t>
      </w:r>
      <w:r>
        <w:rPr>
          <w:sz w:val="18"/>
        </w:rPr>
        <w:t xml:space="preserve">    </w:t>
      </w:r>
      <w:r>
        <w:rPr>
          <w:sz w:val="18"/>
        </w:rPr>
        <w:tab/>
        <w:t>DÁTUM: 8. 5. 2025</w:t>
      </w:r>
    </w:p>
    <w:p w:rsidR="00914BE8" w:rsidRDefault="00914BE8">
      <w:pPr>
        <w:pStyle w:val="BodyText"/>
        <w:spacing w:before="59"/>
        <w:ind w:left="816" w:right="695" w:firstLine="540"/>
        <w:jc w:val="both"/>
        <w:rPr>
          <w:sz w:val="18"/>
        </w:rPr>
      </w:pPr>
    </w:p>
    <w:p w:rsidR="00F13A3A" w:rsidRDefault="009C7DD9">
      <w:pPr>
        <w:pStyle w:val="BodyText"/>
        <w:spacing w:before="59"/>
        <w:ind w:left="816" w:right="695" w:firstLine="540"/>
        <w:jc w:val="both"/>
      </w:pPr>
      <w:proofErr w:type="spellStart"/>
      <w:r>
        <w:t>Pokrajinský</w:t>
      </w:r>
      <w:proofErr w:type="spellEnd"/>
      <w:r>
        <w:t xml:space="preserve"> sekretariát vzdelávania, predpisov, správy a národnostných menšín – národnostných spoločenstiev podľa čl. 24 odsek 2 </w:t>
      </w:r>
      <w:proofErr w:type="spellStart"/>
      <w:r>
        <w:t>Pokrajinského</w:t>
      </w:r>
      <w:proofErr w:type="spellEnd"/>
      <w:r>
        <w:t xml:space="preserve"> parlamentného uznesenia o </w:t>
      </w:r>
      <w:proofErr w:type="spellStart"/>
      <w:r>
        <w:t>pokrajinskej</w:t>
      </w:r>
      <w:proofErr w:type="spellEnd"/>
      <w:r>
        <w:t xml:space="preserve"> správe (Úradný vestník APV číslo 37/2014, 54/2014 – iný predpis, 37/2016, </w:t>
      </w:r>
      <w:r>
        <w:t>29/2017, 24/2019, 66/2020 a 38/2021 a 22/2025) v</w:t>
      </w:r>
    </w:p>
    <w:p w:rsidR="00F13A3A" w:rsidRDefault="009C7DD9">
      <w:pPr>
        <w:pStyle w:val="BodyText"/>
        <w:spacing w:before="2"/>
        <w:ind w:left="816" w:right="696"/>
        <w:jc w:val="both"/>
      </w:pPr>
      <w:r>
        <w:t xml:space="preserve">súvislosti  s článkom 11 bod 23 </w:t>
      </w:r>
      <w:proofErr w:type="spellStart"/>
      <w:r>
        <w:t>Pokrajinského</w:t>
      </w:r>
      <w:proofErr w:type="spellEnd"/>
      <w:r>
        <w:t xml:space="preserve"> parlamentného uznesenia o rozpočte Autonómnej </w:t>
      </w:r>
      <w:proofErr w:type="spellStart"/>
      <w:r>
        <w:t>pokrajiny</w:t>
      </w:r>
      <w:proofErr w:type="spellEnd"/>
      <w:r>
        <w:t xml:space="preserve"> Vojvodiny na rok 2025 (Úradný vestník APV číslo 57/2024) a článku 11 Pravidiel o prideľovaní rozpočtových</w:t>
      </w:r>
      <w:r>
        <w:t xml:space="preserve"> prostriedkov </w:t>
      </w:r>
      <w:proofErr w:type="spellStart"/>
      <w:r>
        <w:t>Pokrajinského</w:t>
      </w:r>
      <w:proofErr w:type="spellEnd"/>
      <w:r>
        <w:t xml:space="preserve"> sekretariátu vzdelávania, predpisov, správy a národnostných menšín – národnostných spoločenstiev na organizovanie regionálnych kvízových súťaží Koľko sa poznáme (Úradný vestník APV číslo 16/2025) a podľa Rozhodnutia </w:t>
      </w:r>
      <w:proofErr w:type="spellStart"/>
      <w:r>
        <w:t>Pokrajinskéh</w:t>
      </w:r>
      <w:r>
        <w:t>o</w:t>
      </w:r>
      <w:proofErr w:type="spellEnd"/>
      <w:r>
        <w:t xml:space="preserve"> sekretariátu vzdelávania, predpisov, správy a národnostných menšín – národnostných spoločenstiev vypisuje: 001642201 2024 09427 002 001 000 001 04 007 z 10. 6. 2024 vynáša</w:t>
      </w:r>
    </w:p>
    <w:p w:rsidR="00F13A3A" w:rsidRDefault="00F13A3A">
      <w:pPr>
        <w:pStyle w:val="BodyText"/>
        <w:spacing w:before="11"/>
        <w:rPr>
          <w:sz w:val="19"/>
        </w:rPr>
      </w:pPr>
    </w:p>
    <w:p w:rsidR="00F13A3A" w:rsidRDefault="009C7DD9">
      <w:pPr>
        <w:pStyle w:val="Heading1"/>
        <w:ind w:left="1053"/>
      </w:pPr>
      <w:r>
        <w:t>ROZHODNUTIE</w:t>
      </w:r>
    </w:p>
    <w:p w:rsidR="00F13A3A" w:rsidRDefault="009C7DD9">
      <w:pPr>
        <w:spacing w:before="1"/>
        <w:ind w:left="1056" w:right="936"/>
        <w:jc w:val="center"/>
        <w:rPr>
          <w:b/>
          <w:sz w:val="20"/>
        </w:rPr>
      </w:pPr>
      <w:r>
        <w:rPr>
          <w:b/>
          <w:sz w:val="20"/>
        </w:rPr>
        <w:t>O PRIDEĽOVANÍ ROZPOČTOVÝCH PROSTRIEDKOV PODĽA VEREJNÉHO SÚBEHU NA ORG</w:t>
      </w:r>
      <w:r>
        <w:rPr>
          <w:b/>
          <w:sz w:val="20"/>
        </w:rPr>
        <w:t>ANIZÁCIU REGIONÁLNEJ KVÍZOVEJ SÚŤAŽE KOĽKO SA POZNÁME – SEDEMNÁSTY CYKLUS</w:t>
      </w:r>
    </w:p>
    <w:p w:rsidR="00F13A3A" w:rsidRDefault="00F13A3A">
      <w:pPr>
        <w:pStyle w:val="BodyText"/>
        <w:rPr>
          <w:b/>
        </w:rPr>
      </w:pPr>
    </w:p>
    <w:p w:rsidR="00F13A3A" w:rsidRDefault="00F13A3A">
      <w:pPr>
        <w:pStyle w:val="BodyText"/>
        <w:rPr>
          <w:b/>
        </w:rPr>
      </w:pPr>
    </w:p>
    <w:p w:rsidR="00F13A3A" w:rsidRDefault="009C7DD9">
      <w:pPr>
        <w:ind w:left="119"/>
        <w:jc w:val="center"/>
        <w:rPr>
          <w:b/>
          <w:sz w:val="20"/>
        </w:rPr>
      </w:pPr>
      <w:r>
        <w:rPr>
          <w:b/>
          <w:sz w:val="20"/>
        </w:rPr>
        <w:t>I.</w:t>
      </w:r>
    </w:p>
    <w:p w:rsidR="00F13A3A" w:rsidRDefault="00F13A3A">
      <w:pPr>
        <w:pStyle w:val="BodyText"/>
        <w:spacing w:before="11"/>
        <w:rPr>
          <w:b/>
          <w:sz w:val="19"/>
        </w:rPr>
      </w:pPr>
    </w:p>
    <w:p w:rsidR="00F13A3A" w:rsidRDefault="009C7DD9">
      <w:pPr>
        <w:pStyle w:val="BodyText"/>
        <w:spacing w:before="1"/>
        <w:ind w:left="816" w:right="647" w:firstLine="540"/>
        <w:jc w:val="both"/>
      </w:pPr>
      <w:r>
        <w:t xml:space="preserve">Na základe Verejného súbehu na organizáciu regionálnej kvízovej súťaže Koľko sa poznáme – sedemnásty cyklus, vyhláseného dňa 7. 4. 2025 pod číslom 001736310 2025 09427 005 001 </w:t>
      </w:r>
      <w:r>
        <w:t>000 001, ktorý bol zverejnený na webovej stránke sekretariátu dňa 7. 4. 2025, sa finančné prostriedky prideľujú týmto žiadateľom:</w:t>
      </w:r>
    </w:p>
    <w:p w:rsidR="00F13A3A" w:rsidRDefault="00F13A3A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884"/>
        <w:gridCol w:w="1459"/>
        <w:gridCol w:w="2556"/>
        <w:gridCol w:w="1065"/>
      </w:tblGrid>
      <w:tr w:rsidR="00F13A3A">
        <w:trPr>
          <w:trHeight w:val="822"/>
        </w:trPr>
        <w:tc>
          <w:tcPr>
            <w:tcW w:w="2981" w:type="dxa"/>
            <w:shd w:val="clear" w:color="auto" w:fill="A6A6A6"/>
          </w:tcPr>
          <w:p w:rsidR="00F13A3A" w:rsidRDefault="00F13A3A">
            <w:pPr>
              <w:pStyle w:val="TableParagraph"/>
              <w:spacing w:before="8"/>
              <w:rPr>
                <w:sz w:val="24"/>
              </w:rPr>
            </w:pPr>
          </w:p>
          <w:p w:rsidR="00F13A3A" w:rsidRDefault="009C7DD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Žiadateľ</w:t>
            </w:r>
          </w:p>
        </w:tc>
        <w:tc>
          <w:tcPr>
            <w:tcW w:w="1884" w:type="dxa"/>
            <w:shd w:val="clear" w:color="auto" w:fill="A6A6A6"/>
          </w:tcPr>
          <w:p w:rsidR="00F13A3A" w:rsidRDefault="00F13A3A">
            <w:pPr>
              <w:pStyle w:val="TableParagraph"/>
              <w:spacing w:before="8"/>
              <w:rPr>
                <w:sz w:val="24"/>
              </w:rPr>
            </w:pPr>
          </w:p>
          <w:p w:rsidR="00F13A3A" w:rsidRDefault="009C7DD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Osídlené miesto</w:t>
            </w:r>
          </w:p>
        </w:tc>
        <w:tc>
          <w:tcPr>
            <w:tcW w:w="1459" w:type="dxa"/>
            <w:shd w:val="clear" w:color="auto" w:fill="A6A6A6"/>
          </w:tcPr>
          <w:p w:rsidR="00F13A3A" w:rsidRDefault="00F13A3A">
            <w:pPr>
              <w:pStyle w:val="TableParagraph"/>
              <w:spacing w:before="10"/>
              <w:rPr>
                <w:sz w:val="15"/>
              </w:rPr>
            </w:pPr>
          </w:p>
          <w:p w:rsidR="00F13A3A" w:rsidRDefault="009C7DD9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Návrh sumy</w:t>
            </w:r>
          </w:p>
          <w:p w:rsidR="00F13A3A" w:rsidRDefault="009C7DD9">
            <w:pPr>
              <w:pStyle w:val="TableParagraph"/>
              <w:spacing w:line="219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na pridelenie</w:t>
            </w:r>
          </w:p>
        </w:tc>
        <w:tc>
          <w:tcPr>
            <w:tcW w:w="2556" w:type="dxa"/>
            <w:shd w:val="clear" w:color="auto" w:fill="A6A6A6"/>
          </w:tcPr>
          <w:p w:rsidR="00F13A3A" w:rsidRDefault="00F13A3A">
            <w:pPr>
              <w:pStyle w:val="TableParagraph"/>
              <w:spacing w:before="8"/>
              <w:rPr>
                <w:sz w:val="24"/>
              </w:rPr>
            </w:pPr>
          </w:p>
          <w:p w:rsidR="00F13A3A" w:rsidRDefault="009C7DD9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Číslo predmetu</w:t>
            </w:r>
          </w:p>
        </w:tc>
        <w:tc>
          <w:tcPr>
            <w:tcW w:w="1065" w:type="dxa"/>
            <w:shd w:val="clear" w:color="auto" w:fill="A6A6A6"/>
          </w:tcPr>
          <w:p w:rsidR="00F13A3A" w:rsidRDefault="00F13A3A">
            <w:pPr>
              <w:pStyle w:val="TableParagraph"/>
              <w:spacing w:before="10"/>
              <w:rPr>
                <w:sz w:val="15"/>
              </w:rPr>
            </w:pPr>
          </w:p>
          <w:p w:rsidR="00F13A3A" w:rsidRDefault="009C7DD9">
            <w:pPr>
              <w:pStyle w:val="TableParagraph"/>
              <w:ind w:left="251" w:right="212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Počet bodov</w:t>
            </w:r>
          </w:p>
        </w:tc>
      </w:tr>
      <w:tr w:rsidR="00F13A3A">
        <w:trPr>
          <w:trHeight w:val="520"/>
        </w:trPr>
        <w:tc>
          <w:tcPr>
            <w:tcW w:w="2981" w:type="dxa"/>
          </w:tcPr>
          <w:p w:rsidR="00F13A3A" w:rsidRDefault="009C7DD9">
            <w:pPr>
              <w:pStyle w:val="TableParagraph"/>
              <w:spacing w:before="39"/>
              <w:ind w:left="107" w:right="379"/>
              <w:rPr>
                <w:sz w:val="18"/>
              </w:rPr>
            </w:pPr>
            <w:r>
              <w:rPr>
                <w:sz w:val="18"/>
              </w:rPr>
              <w:t xml:space="preserve">Biskupské klasické gymnázium </w:t>
            </w:r>
            <w:proofErr w:type="spellStart"/>
            <w:r>
              <w:rPr>
                <w:sz w:val="18"/>
              </w:rPr>
              <w:t>Paulinum</w:t>
            </w:r>
            <w:proofErr w:type="spellEnd"/>
          </w:p>
        </w:tc>
        <w:tc>
          <w:tcPr>
            <w:tcW w:w="1884" w:type="dxa"/>
          </w:tcPr>
          <w:p w:rsidR="00F13A3A" w:rsidRDefault="009C7DD9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Subotica</w:t>
            </w:r>
          </w:p>
        </w:tc>
        <w:tc>
          <w:tcPr>
            <w:tcW w:w="1459" w:type="dxa"/>
          </w:tcPr>
          <w:p w:rsidR="00F13A3A" w:rsidRDefault="009C7DD9">
            <w:pPr>
              <w:pStyle w:val="TableParagraph"/>
              <w:spacing w:before="150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89.200,00</w:t>
            </w:r>
          </w:p>
        </w:tc>
        <w:tc>
          <w:tcPr>
            <w:tcW w:w="2556" w:type="dxa"/>
          </w:tcPr>
          <w:p w:rsidR="00F13A3A" w:rsidRDefault="009C7DD9"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F13A3A" w:rsidRDefault="009C7DD9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001 000 003</w:t>
            </w:r>
          </w:p>
        </w:tc>
        <w:tc>
          <w:tcPr>
            <w:tcW w:w="1065" w:type="dxa"/>
          </w:tcPr>
          <w:p w:rsidR="00F13A3A" w:rsidRDefault="009C7DD9">
            <w:pPr>
              <w:pStyle w:val="TableParagraph"/>
              <w:spacing w:before="150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13A3A">
        <w:trPr>
          <w:trHeight w:val="551"/>
        </w:trPr>
        <w:tc>
          <w:tcPr>
            <w:tcW w:w="2981" w:type="dxa"/>
          </w:tcPr>
          <w:p w:rsidR="00F13A3A" w:rsidRDefault="009C7DD9">
            <w:pPr>
              <w:pStyle w:val="TableParagraph"/>
              <w:spacing w:before="56"/>
              <w:ind w:left="107" w:right="204"/>
              <w:rPr>
                <w:sz w:val="18"/>
              </w:rPr>
            </w:pPr>
            <w:r>
              <w:rPr>
                <w:sz w:val="18"/>
              </w:rPr>
              <w:t xml:space="preserve">Ekonomicko-obchodná škola </w:t>
            </w:r>
            <w:proofErr w:type="spellStart"/>
            <w:r>
              <w:rPr>
                <w:sz w:val="18"/>
              </w:rPr>
              <w:t>Vuka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Karadžića</w:t>
            </w:r>
            <w:proofErr w:type="spellEnd"/>
          </w:p>
        </w:tc>
        <w:tc>
          <w:tcPr>
            <w:tcW w:w="1884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Stará </w:t>
            </w:r>
            <w:proofErr w:type="spellStart"/>
            <w:r>
              <w:rPr>
                <w:sz w:val="18"/>
              </w:rPr>
              <w:t>Pazova</w:t>
            </w:r>
            <w:proofErr w:type="spellEnd"/>
          </w:p>
        </w:tc>
        <w:tc>
          <w:tcPr>
            <w:tcW w:w="1459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556" w:type="dxa"/>
          </w:tcPr>
          <w:p w:rsidR="00F13A3A" w:rsidRDefault="009C7DD9">
            <w:pPr>
              <w:pStyle w:val="TableParagraph"/>
              <w:spacing w:before="56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F13A3A" w:rsidRDefault="009C7DD9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001 000 004</w:t>
            </w:r>
          </w:p>
        </w:tc>
        <w:tc>
          <w:tcPr>
            <w:tcW w:w="1065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F13A3A">
        <w:trPr>
          <w:trHeight w:val="549"/>
        </w:trPr>
        <w:tc>
          <w:tcPr>
            <w:tcW w:w="2981" w:type="dxa"/>
          </w:tcPr>
          <w:p w:rsidR="00F13A3A" w:rsidRDefault="009C7DD9">
            <w:pPr>
              <w:pStyle w:val="TableParagraph"/>
              <w:spacing w:before="57"/>
              <w:ind w:left="107" w:right="150"/>
              <w:rPr>
                <w:sz w:val="18"/>
              </w:rPr>
            </w:pPr>
            <w:r>
              <w:rPr>
                <w:sz w:val="18"/>
              </w:rPr>
              <w:t xml:space="preserve">Kultúrno-vzdelávacie stredisko </w:t>
            </w:r>
            <w:proofErr w:type="spellStart"/>
            <w:r>
              <w:rPr>
                <w:sz w:val="18"/>
              </w:rPr>
              <w:t>Thurzó</w:t>
            </w:r>
            <w:r w:rsidR="005347C4"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Lajosa</w:t>
            </w:r>
          </w:p>
        </w:tc>
        <w:tc>
          <w:tcPr>
            <w:tcW w:w="1884" w:type="dxa"/>
          </w:tcPr>
          <w:p w:rsidR="00F13A3A" w:rsidRDefault="00F13A3A">
            <w:pPr>
              <w:pStyle w:val="TableParagraph"/>
              <w:spacing w:before="6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Senta</w:t>
            </w:r>
            <w:proofErr w:type="spellEnd"/>
          </w:p>
        </w:tc>
        <w:tc>
          <w:tcPr>
            <w:tcW w:w="1459" w:type="dxa"/>
          </w:tcPr>
          <w:p w:rsidR="00F13A3A" w:rsidRDefault="00F13A3A">
            <w:pPr>
              <w:pStyle w:val="TableParagraph"/>
              <w:spacing w:before="6"/>
              <w:rPr>
                <w:sz w:val="13"/>
              </w:rPr>
            </w:pPr>
          </w:p>
          <w:p w:rsidR="00F13A3A" w:rsidRDefault="009C7DD9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556" w:type="dxa"/>
          </w:tcPr>
          <w:p w:rsidR="00F13A3A" w:rsidRDefault="009C7DD9">
            <w:pPr>
              <w:pStyle w:val="TableParagraph"/>
              <w:spacing w:before="57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F13A3A" w:rsidRDefault="009C7DD9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001 000 005</w:t>
            </w:r>
          </w:p>
        </w:tc>
        <w:tc>
          <w:tcPr>
            <w:tcW w:w="1065" w:type="dxa"/>
          </w:tcPr>
          <w:p w:rsidR="00F13A3A" w:rsidRDefault="00F13A3A">
            <w:pPr>
              <w:pStyle w:val="TableParagraph"/>
              <w:spacing w:before="6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F13A3A">
        <w:trPr>
          <w:trHeight w:val="551"/>
        </w:trPr>
        <w:tc>
          <w:tcPr>
            <w:tcW w:w="2981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Základná škola </w:t>
            </w:r>
            <w:proofErr w:type="spellStart"/>
            <w:r>
              <w:rPr>
                <w:sz w:val="18"/>
              </w:rPr>
              <w:t>Szervó</w:t>
            </w:r>
            <w:r w:rsidR="005347C4"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Mihályho</w:t>
            </w:r>
            <w:proofErr w:type="spellEnd"/>
          </w:p>
        </w:tc>
        <w:tc>
          <w:tcPr>
            <w:tcW w:w="1884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Zreňanin</w:t>
            </w:r>
            <w:proofErr w:type="spellEnd"/>
          </w:p>
        </w:tc>
        <w:tc>
          <w:tcPr>
            <w:tcW w:w="1459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52 000,00</w:t>
            </w:r>
          </w:p>
        </w:tc>
        <w:tc>
          <w:tcPr>
            <w:tcW w:w="2556" w:type="dxa"/>
          </w:tcPr>
          <w:p w:rsidR="00F13A3A" w:rsidRDefault="009C7DD9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F13A3A" w:rsidRDefault="009C7DD9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001 000 006</w:t>
            </w:r>
          </w:p>
        </w:tc>
        <w:tc>
          <w:tcPr>
            <w:tcW w:w="1065" w:type="dxa"/>
          </w:tcPr>
          <w:p w:rsidR="00F13A3A" w:rsidRDefault="00F13A3A">
            <w:pPr>
              <w:pStyle w:val="TableParagraph"/>
              <w:spacing w:before="8"/>
              <w:rPr>
                <w:sz w:val="13"/>
              </w:rPr>
            </w:pPr>
          </w:p>
          <w:p w:rsidR="00F13A3A" w:rsidRDefault="009C7DD9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F13A3A" w:rsidRDefault="00F13A3A">
      <w:pPr>
        <w:pStyle w:val="BodyText"/>
        <w:spacing w:before="12"/>
        <w:rPr>
          <w:sz w:val="19"/>
        </w:rPr>
      </w:pPr>
    </w:p>
    <w:p w:rsidR="00F13A3A" w:rsidRDefault="009C7DD9">
      <w:pPr>
        <w:pStyle w:val="Heading1"/>
        <w:ind w:left="1055"/>
      </w:pPr>
      <w:r>
        <w:t>II.</w:t>
      </w:r>
    </w:p>
    <w:p w:rsidR="00F13A3A" w:rsidRDefault="00F13A3A">
      <w:pPr>
        <w:pStyle w:val="BodyText"/>
        <w:spacing w:before="9"/>
        <w:rPr>
          <w:b/>
          <w:sz w:val="14"/>
        </w:rPr>
      </w:pPr>
      <w:bookmarkStart w:id="0" w:name="_GoBack"/>
      <w:bookmarkEnd w:id="0"/>
    </w:p>
    <w:p w:rsidR="00F13A3A" w:rsidRDefault="009C7DD9">
      <w:pPr>
        <w:pStyle w:val="BodyText"/>
        <w:ind w:left="816" w:right="698" w:firstLine="707"/>
        <w:jc w:val="both"/>
      </w:pPr>
      <w:r>
        <w:t xml:space="preserve">Toto rozhodnutie o voľbe programov/projektov sa zverejňuje na oficiálnej webovej stránke </w:t>
      </w:r>
      <w:proofErr w:type="spellStart"/>
      <w:r>
        <w:t>pokrajinského</w:t>
      </w:r>
      <w:proofErr w:type="spellEnd"/>
      <w:r>
        <w:t xml:space="preserve"> sekretariátu.</w:t>
      </w:r>
    </w:p>
    <w:p w:rsidR="00F13A3A" w:rsidRDefault="00F13A3A">
      <w:pPr>
        <w:pStyle w:val="BodyText"/>
      </w:pPr>
    </w:p>
    <w:p w:rsidR="00F13A3A" w:rsidRDefault="00F13A3A">
      <w:pPr>
        <w:pStyle w:val="BodyText"/>
        <w:spacing w:before="1"/>
      </w:pPr>
    </w:p>
    <w:p w:rsidR="00F13A3A" w:rsidRDefault="009C7DD9">
      <w:pPr>
        <w:pStyle w:val="Heading1"/>
        <w:ind w:left="1051"/>
      </w:pPr>
      <w:r>
        <w:t>Zdôvodnenie</w:t>
      </w:r>
    </w:p>
    <w:p w:rsidR="00F13A3A" w:rsidRDefault="00F13A3A">
      <w:pPr>
        <w:pStyle w:val="BodyText"/>
        <w:spacing w:before="1"/>
        <w:rPr>
          <w:b/>
        </w:rPr>
      </w:pPr>
    </w:p>
    <w:p w:rsidR="00F13A3A" w:rsidRDefault="009C7DD9">
      <w:pPr>
        <w:pStyle w:val="BodyText"/>
        <w:ind w:left="816" w:right="700" w:firstLine="707"/>
        <w:jc w:val="both"/>
      </w:pPr>
      <w:r>
        <w:t xml:space="preserve">Článkom 23 odsek 4 </w:t>
      </w:r>
      <w:proofErr w:type="spellStart"/>
      <w:r>
        <w:t>Pokrajinské</w:t>
      </w:r>
      <w:proofErr w:type="spellEnd"/>
      <w:r>
        <w:t xml:space="preserve"> </w:t>
      </w:r>
      <w:proofErr w:type="spellStart"/>
      <w:r>
        <w:t>parlmentné</w:t>
      </w:r>
      <w:proofErr w:type="spellEnd"/>
      <w:r>
        <w:t xml:space="preserve"> uznesenie o rozpočte Autonómnej </w:t>
      </w:r>
      <w:proofErr w:type="spellStart"/>
      <w:r>
        <w:t>pokrajiny</w:t>
      </w:r>
      <w:proofErr w:type="spellEnd"/>
      <w:r>
        <w:t xml:space="preserve"> Vojvodiny na rok 2025 rok v článkoch 7-11 Pravidiel o pridelení rozpočtových prostriedkov </w:t>
      </w:r>
      <w:proofErr w:type="spellStart"/>
      <w:r>
        <w:t>Pokrajinským</w:t>
      </w:r>
      <w:proofErr w:type="spellEnd"/>
      <w:r>
        <w:t xml:space="preserve"> sekretariátom vzdelávania, predpisov, správy a národnostných menšín –</w:t>
      </w:r>
      <w:r>
        <w:t xml:space="preserve"> národnostných spoločenstiev za usporiadanie regionálnych</w:t>
      </w:r>
    </w:p>
    <w:p w:rsidR="00F13A3A" w:rsidRDefault="00F13A3A">
      <w:pPr>
        <w:jc w:val="both"/>
        <w:sectPr w:rsidR="00F13A3A">
          <w:type w:val="continuous"/>
          <w:pgSz w:w="11910" w:h="16840"/>
          <w:pgMar w:top="980" w:right="720" w:bottom="280" w:left="600" w:header="720" w:footer="720" w:gutter="0"/>
          <w:cols w:space="720"/>
        </w:sectPr>
      </w:pPr>
    </w:p>
    <w:p w:rsidR="00F13A3A" w:rsidRDefault="009C7DD9">
      <w:pPr>
        <w:pStyle w:val="BodyText"/>
        <w:spacing w:before="34"/>
        <w:ind w:left="816" w:right="665"/>
      </w:pPr>
      <w:r>
        <w:lastRenderedPageBreak/>
        <w:t>kvízovej súťaže Koľko sa poznáme upravuje spôsob nakladania s prijatými žiadosťami, ako aj spôsob prideľovania finančných prostriedkov prostredníctvom verejného súbehu.</w:t>
      </w:r>
    </w:p>
    <w:p w:rsidR="00F13A3A" w:rsidRDefault="009C7DD9">
      <w:pPr>
        <w:pStyle w:val="BodyText"/>
        <w:spacing w:before="2"/>
        <w:ind w:left="816" w:right="692" w:firstLine="707"/>
        <w:jc w:val="both"/>
      </w:pPr>
      <w:r>
        <w:t>V súlade s uv</w:t>
      </w:r>
      <w:r>
        <w:t xml:space="preserve">edenými predpismi </w:t>
      </w:r>
      <w:proofErr w:type="spellStart"/>
      <w:r>
        <w:t>Pokrajinský</w:t>
      </w:r>
      <w:proofErr w:type="spellEnd"/>
      <w:r>
        <w:t xml:space="preserve"> sekretariát vzdelávania, predpisov, správy a národnostných menšín – národnostných spoločenstiev dňa 7. 4. 2025 vypísal verejný súbeh na usporiadanie regionálnej kvízovej súťaže Koľko sa poznáme – sedemnásty cyklus, pod číslom </w:t>
      </w:r>
      <w:r>
        <w:t>001736310 2025 09427 005 001 000 001.</w:t>
      </w:r>
    </w:p>
    <w:p w:rsidR="00F13A3A" w:rsidRDefault="009C7DD9">
      <w:pPr>
        <w:pStyle w:val="BodyText"/>
        <w:ind w:left="816" w:right="702" w:firstLine="707"/>
        <w:jc w:val="both"/>
      </w:pPr>
      <w:r>
        <w:t>Súbehová komisia na uskutočnenie konania o prideľovaní rozpočtových prostriedkov bola zriadená rozhodnutím číslo 001736310 2025 09427 005 001 000 001 zo dňa 24. 4. 2025.</w:t>
      </w:r>
    </w:p>
    <w:p w:rsidR="00F13A3A" w:rsidRDefault="009C7DD9">
      <w:pPr>
        <w:pStyle w:val="BodyText"/>
        <w:ind w:left="816" w:right="703" w:firstLine="707"/>
        <w:jc w:val="both"/>
      </w:pPr>
      <w:r>
        <w:t>Po vypršaní lehoty na podávanie prihlášok súbeho</w:t>
      </w:r>
      <w:r>
        <w:t>vá komisia vyhodnotila prihlášky doručené na súbeh.</w:t>
      </w:r>
    </w:p>
    <w:p w:rsidR="00F13A3A" w:rsidRDefault="009C7DD9">
      <w:pPr>
        <w:pStyle w:val="BodyText"/>
        <w:ind w:left="816" w:right="699" w:firstLine="753"/>
        <w:jc w:val="both"/>
      </w:pPr>
      <w:r>
        <w:t>Súbehová komisia dospela k záveru, že na súbeh neboli doručené žiadne neúplné alebo nesprávne vyplnené prihlášky, t. j. prihlášky, v ktorých nie sú vyplnené všetky povinné polia, ako aj prihlášky, ktoré n</w:t>
      </w:r>
      <w:r>
        <w:t>ie sú podpísané a opečiatkované, ktoré nie sú doručené načas alebo ktoré neboli prístupné.</w:t>
      </w:r>
    </w:p>
    <w:p w:rsidR="00F13A3A" w:rsidRDefault="009C7DD9">
      <w:pPr>
        <w:pStyle w:val="BodyText"/>
        <w:ind w:left="816" w:right="697" w:firstLine="707"/>
        <w:jc w:val="both"/>
      </w:pPr>
      <w:r>
        <w:t>Súbehová komisia po zvážení a vyhodnotení prihlášok na uvedený súbeh určila listinu hodnotenia, bodovania a poradia prihlášok, ktorá bola zverejnená na oficiálnej st</w:t>
      </w:r>
      <w:r>
        <w:t xml:space="preserve">ránke </w:t>
      </w:r>
      <w:proofErr w:type="spellStart"/>
      <w:r>
        <w:t>Pokrajinského</w:t>
      </w:r>
      <w:proofErr w:type="spellEnd"/>
      <w:r>
        <w:t xml:space="preserve"> sekretariátu 29. 4. 2025.</w:t>
      </w:r>
    </w:p>
    <w:p w:rsidR="00F13A3A" w:rsidRDefault="009C7DD9">
      <w:pPr>
        <w:pStyle w:val="BodyText"/>
        <w:ind w:left="816" w:right="695" w:firstLine="707"/>
        <w:jc w:val="both"/>
      </w:pPr>
      <w:r>
        <w:t>Po zverejnení hodnotiacej listiny, v lehote na podanie námietok, neboli na sekretariát podané žiadne námietky na listinu hodnotenia, bodovania a zoradenia, a boli splnené podmienky na prijatie konečného rozhodn</w:t>
      </w:r>
      <w:r>
        <w:t>utia o pridelení finančných prostriedkov.</w:t>
      </w:r>
    </w:p>
    <w:p w:rsidR="00F13A3A" w:rsidRDefault="009C7DD9">
      <w:pPr>
        <w:pStyle w:val="BodyText"/>
        <w:ind w:left="816" w:right="692" w:firstLine="707"/>
        <w:jc w:val="both"/>
      </w:pPr>
      <w:r>
        <w:t xml:space="preserve">Po uplatnení uvedených predpisov a po ukončení konania o prideľovaní finančných prostriedkov </w:t>
      </w:r>
      <w:proofErr w:type="spellStart"/>
      <w:r>
        <w:t>pokrajinský</w:t>
      </w:r>
      <w:proofErr w:type="spellEnd"/>
      <w:r>
        <w:t xml:space="preserve"> tajomník vydal rozhodnutie o pridelení rozpočtových prostriedkov na základe verejného súbehu na usporiadanie </w:t>
      </w:r>
      <w:r>
        <w:t xml:space="preserve"> regionálnej kvízovej súťaže Koľko sa poznáme – sedemnásty cyklus. V tomto rozhodnutí sú uvedení žiadatelia, ktorým bolo schválené financovanie, pričom neexistujú žiadne žiadosti, ktorým by financovanie nebolo udelené.</w:t>
      </w:r>
    </w:p>
    <w:p w:rsidR="00F13A3A" w:rsidRDefault="009C7DD9">
      <w:pPr>
        <w:pStyle w:val="BodyText"/>
        <w:ind w:left="1524"/>
      </w:pPr>
      <w:r>
        <w:t>V súlade s uvedeným, vynesené je rozhodnutie ako vo výroku.</w:t>
      </w:r>
    </w:p>
    <w:p w:rsidR="00F13A3A" w:rsidRDefault="00F13A3A">
      <w:pPr>
        <w:pStyle w:val="BodyText"/>
        <w:spacing w:before="11"/>
        <w:rPr>
          <w:sz w:val="19"/>
        </w:rPr>
      </w:pPr>
    </w:p>
    <w:p w:rsidR="00F13A3A" w:rsidRDefault="009C7DD9">
      <w:pPr>
        <w:pStyle w:val="BodyText"/>
        <w:spacing w:before="1"/>
        <w:ind w:left="1524"/>
      </w:pPr>
      <w:r>
        <w:t xml:space="preserve">Toto rozhodnutie je konečné a bude zverejnené na oficiálnej internetovej stránke </w:t>
      </w:r>
      <w:proofErr w:type="spellStart"/>
      <w:r>
        <w:t>pokrajinského</w:t>
      </w:r>
      <w:proofErr w:type="spellEnd"/>
      <w:r>
        <w:t xml:space="preserve"> sekretariátu.</w:t>
      </w:r>
    </w:p>
    <w:p w:rsidR="00F13A3A" w:rsidRDefault="00F13A3A">
      <w:pPr>
        <w:pStyle w:val="BodyText"/>
      </w:pPr>
    </w:p>
    <w:p w:rsidR="00F13A3A" w:rsidRDefault="00F13A3A">
      <w:pPr>
        <w:pStyle w:val="BodyText"/>
      </w:pPr>
    </w:p>
    <w:p w:rsidR="00F13A3A" w:rsidRDefault="00F13A3A">
      <w:pPr>
        <w:pStyle w:val="BodyText"/>
      </w:pPr>
    </w:p>
    <w:p w:rsidR="00F13A3A" w:rsidRDefault="009C7DD9">
      <w:pPr>
        <w:pStyle w:val="BodyText"/>
        <w:ind w:left="5490" w:right="936"/>
        <w:jc w:val="center"/>
      </w:pPr>
      <w:r>
        <w:t>S OPRÁVNENÍM POKRAJINSKÉHO TAJOMNÍKA</w:t>
      </w:r>
    </w:p>
    <w:p w:rsidR="00F13A3A" w:rsidRDefault="009C7DD9">
      <w:pPr>
        <w:pStyle w:val="BodyText"/>
        <w:spacing w:before="1"/>
        <w:ind w:left="5490" w:right="936"/>
        <w:jc w:val="center"/>
      </w:pPr>
      <w:r>
        <w:t>ZÁSTUPKYŇA POKRAJINSKÉHO TAJOMNÍKA</w:t>
      </w:r>
    </w:p>
    <w:p w:rsidR="00F13A3A" w:rsidRDefault="00F13A3A">
      <w:pPr>
        <w:pStyle w:val="BodyText"/>
        <w:spacing w:before="11"/>
        <w:rPr>
          <w:sz w:val="19"/>
        </w:rPr>
      </w:pPr>
    </w:p>
    <w:p w:rsidR="00F13A3A" w:rsidRDefault="009C7DD9">
      <w:pPr>
        <w:pStyle w:val="BodyText"/>
        <w:ind w:right="2008"/>
        <w:jc w:val="right"/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Bu</w:t>
      </w:r>
      <w:r>
        <w:t>rsać</w:t>
      </w:r>
      <w:proofErr w:type="spellEnd"/>
    </w:p>
    <w:p w:rsidR="00F13A3A" w:rsidRDefault="00F13A3A">
      <w:pPr>
        <w:pStyle w:val="BodyText"/>
      </w:pPr>
    </w:p>
    <w:p w:rsidR="00F13A3A" w:rsidRDefault="009C7DD9">
      <w:pPr>
        <w:pStyle w:val="BodyText"/>
        <w:spacing w:before="4"/>
        <w:rPr>
          <w:sz w:val="22"/>
        </w:rPr>
      </w:pPr>
      <w:r>
        <w:pict>
          <v:group id="_x0000_s1026" style="position:absolute;margin-left:329.15pt;margin-top:15.6pt;width:224.7pt;height:104.8pt;z-index:-251657216;mso-wrap-distance-left:0;mso-wrap-distance-right:0;mso-position-horizontal-relative:page" coordorigin="6583,312" coordsize="4494,2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703;top:934;width:1197;height:64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85;top:313;width:4490;height:2092" filled="f" strokeweight=".06961mm">
              <v:textbox inset="0,0,0,0">
                <w:txbxContent>
                  <w:p w:rsidR="00F13A3A" w:rsidRDefault="009C7DD9">
                    <w:pPr>
                      <w:spacing w:before="5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Srbská republika</w:t>
                    </w:r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Autonómna </w:t>
                    </w:r>
                    <w:proofErr w:type="spellStart"/>
                    <w:r>
                      <w:rPr>
                        <w:sz w:val="6"/>
                      </w:rPr>
                      <w:t>pokrajina</w:t>
                    </w:r>
                    <w:proofErr w:type="spellEnd"/>
                    <w:r>
                      <w:rPr>
                        <w:sz w:val="6"/>
                      </w:rPr>
                      <w:t xml:space="preserve"> Vojvodina</w:t>
                    </w:r>
                  </w:p>
                  <w:p w:rsidR="00F13A3A" w:rsidRDefault="009C7DD9">
                    <w:pPr>
                      <w:spacing w:before="7" w:line="261" w:lineRule="auto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Покрајински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секретаријат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образовање,прописе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управу</w:t>
                    </w:r>
                    <w:proofErr w:type="spellEnd"/>
                    <w:r>
                      <w:rPr>
                        <w:sz w:val="6"/>
                      </w:rPr>
                      <w:t xml:space="preserve"> и </w:t>
                    </w:r>
                    <w:proofErr w:type="spellStart"/>
                    <w:r>
                      <w:rPr>
                        <w:sz w:val="6"/>
                      </w:rPr>
                      <w:t>националне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мањине-националне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заједнице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Нови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Сад</w:t>
                    </w:r>
                    <w:proofErr w:type="spellEnd"/>
                  </w:p>
                  <w:p w:rsidR="00F13A3A" w:rsidRDefault="009C7DD9">
                    <w:pPr>
                      <w:spacing w:before="1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Szerb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Köztársaság</w:t>
                    </w:r>
                    <w:proofErr w:type="spellEnd"/>
                    <w:r>
                      <w:rPr>
                        <w:sz w:val="6"/>
                      </w:rPr>
                      <w:t>,</w:t>
                    </w:r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Vajdaság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Autonóm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Tartomány</w:t>
                    </w:r>
                    <w:proofErr w:type="spellEnd"/>
                  </w:p>
                  <w:p w:rsidR="00F13A3A" w:rsidRDefault="009C7DD9">
                    <w:pPr>
                      <w:spacing w:before="8" w:line="261" w:lineRule="auto"/>
                      <w:ind w:left="1463" w:right="155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Tartományi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Oktatási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Jogalkotási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Közigazgatási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és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Nemzeti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Kisebbségi</w:t>
                    </w:r>
                    <w:proofErr w:type="spellEnd"/>
                    <w:r>
                      <w:rPr>
                        <w:sz w:val="6"/>
                      </w:rPr>
                      <w:t xml:space="preserve"> – </w:t>
                    </w:r>
                    <w:proofErr w:type="spellStart"/>
                    <w:r>
                      <w:rPr>
                        <w:sz w:val="6"/>
                      </w:rPr>
                      <w:t>Nemzeti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Közösségi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Titkárság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Újvidék</w:t>
                    </w:r>
                    <w:proofErr w:type="spellEnd"/>
                  </w:p>
                  <w:p w:rsidR="00F13A3A" w:rsidRDefault="009C7DD9">
                    <w:pPr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Srbská republika</w:t>
                    </w:r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Autonómna </w:t>
                    </w:r>
                    <w:proofErr w:type="spellStart"/>
                    <w:r>
                      <w:rPr>
                        <w:sz w:val="6"/>
                      </w:rPr>
                      <w:t>pokrajina</w:t>
                    </w:r>
                    <w:proofErr w:type="spellEnd"/>
                    <w:r>
                      <w:rPr>
                        <w:sz w:val="6"/>
                      </w:rPr>
                      <w:t xml:space="preserve"> Vojvodina</w:t>
                    </w:r>
                  </w:p>
                  <w:p w:rsidR="00F13A3A" w:rsidRDefault="009C7DD9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Pokrajinský</w:t>
                    </w:r>
                    <w:proofErr w:type="spellEnd"/>
                    <w:r>
                      <w:rPr>
                        <w:sz w:val="6"/>
                      </w:rPr>
                      <w:t xml:space="preserve"> sekretariát vzdelávania, predpisov, správy a národnostných menšín – národnostných spoloče</w:t>
                    </w:r>
                    <w:r>
                      <w:rPr>
                        <w:sz w:val="6"/>
                      </w:rPr>
                      <w:t>nstiev Nový Sad</w:t>
                    </w:r>
                  </w:p>
                  <w:p w:rsidR="00F13A3A" w:rsidRDefault="009C7DD9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Republika </w:t>
                    </w:r>
                    <w:proofErr w:type="spellStart"/>
                    <w:r>
                      <w:rPr>
                        <w:sz w:val="6"/>
                      </w:rPr>
                      <w:t>Srbija</w:t>
                    </w:r>
                    <w:proofErr w:type="spellEnd"/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Autonomna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Pokrajina</w:t>
                    </w:r>
                    <w:proofErr w:type="spellEnd"/>
                    <w:r>
                      <w:rPr>
                        <w:sz w:val="6"/>
                      </w:rPr>
                      <w:t xml:space="preserve"> Vojvodina</w:t>
                    </w:r>
                  </w:p>
                  <w:p w:rsidR="00F13A3A" w:rsidRDefault="009C7DD9">
                    <w:pPr>
                      <w:spacing w:before="8" w:line="261" w:lineRule="auto"/>
                      <w:ind w:left="1463" w:right="301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Pokrajinsko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tajništvo</w:t>
                    </w:r>
                    <w:proofErr w:type="spellEnd"/>
                    <w:r>
                      <w:rPr>
                        <w:sz w:val="6"/>
                      </w:rPr>
                      <w:t xml:space="preserve"> za </w:t>
                    </w:r>
                    <w:proofErr w:type="spellStart"/>
                    <w:r>
                      <w:rPr>
                        <w:sz w:val="6"/>
                      </w:rPr>
                      <w:t>obrazovanje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propise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upravu</w:t>
                    </w:r>
                    <w:proofErr w:type="spellEnd"/>
                    <w:r>
                      <w:rPr>
                        <w:sz w:val="6"/>
                      </w:rPr>
                      <w:t xml:space="preserve"> i </w:t>
                    </w:r>
                    <w:proofErr w:type="spellStart"/>
                    <w:r>
                      <w:rPr>
                        <w:sz w:val="6"/>
                      </w:rPr>
                      <w:t>nacionalne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manjine</w:t>
                    </w:r>
                    <w:proofErr w:type="spellEnd"/>
                    <w:r>
                      <w:rPr>
                        <w:sz w:val="6"/>
                      </w:rPr>
                      <w:t xml:space="preserve"> – </w:t>
                    </w:r>
                    <w:proofErr w:type="spellStart"/>
                    <w:r>
                      <w:rPr>
                        <w:sz w:val="6"/>
                      </w:rPr>
                      <w:t>nacionalne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zajednice</w:t>
                    </w:r>
                    <w:proofErr w:type="spellEnd"/>
                    <w:r>
                      <w:rPr>
                        <w:sz w:val="6"/>
                      </w:rPr>
                      <w:t xml:space="preserve"> Novi Sad</w:t>
                    </w:r>
                  </w:p>
                  <w:p w:rsidR="00F13A3A" w:rsidRDefault="009C7DD9">
                    <w:pPr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Republica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Serbia</w:t>
                    </w:r>
                    <w:proofErr w:type="spellEnd"/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Provincia </w:t>
                    </w:r>
                    <w:proofErr w:type="spellStart"/>
                    <w:r>
                      <w:rPr>
                        <w:sz w:val="6"/>
                      </w:rPr>
                      <w:t>Autonomă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Voivodina</w:t>
                    </w:r>
                    <w:proofErr w:type="spellEnd"/>
                  </w:p>
                  <w:p w:rsidR="00F13A3A" w:rsidRDefault="009C7DD9">
                    <w:pPr>
                      <w:spacing w:before="7" w:line="264" w:lineRule="auto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Secretariatul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Provincial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pentru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Educaţie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Reglementări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Administraţie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şi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Minorităţile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Naţionale-Comunităţile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Naţionale</w:t>
                    </w:r>
                    <w:proofErr w:type="spellEnd"/>
                  </w:p>
                  <w:p w:rsidR="00F13A3A" w:rsidRDefault="009C7DD9">
                    <w:pPr>
                      <w:spacing w:line="73" w:lineRule="exact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Novi Sad</w:t>
                    </w:r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Република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Сербия</w:t>
                    </w:r>
                    <w:proofErr w:type="spellEnd"/>
                  </w:p>
                  <w:p w:rsidR="00F13A3A" w:rsidRDefault="009C7DD9">
                    <w:pPr>
                      <w:spacing w:before="7"/>
                      <w:ind w:left="1463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Автономна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Покраїна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Войводина</w:t>
                    </w:r>
                    <w:proofErr w:type="spellEnd"/>
                  </w:p>
                  <w:p w:rsidR="00F13A3A" w:rsidRDefault="009C7DD9">
                    <w:pPr>
                      <w:spacing w:before="7" w:line="261" w:lineRule="auto"/>
                      <w:ind w:left="1463" w:right="155"/>
                      <w:rPr>
                        <w:sz w:val="6"/>
                      </w:rPr>
                    </w:pPr>
                    <w:proofErr w:type="spellStart"/>
                    <w:r>
                      <w:rPr>
                        <w:sz w:val="6"/>
                      </w:rPr>
                      <w:t>Покраїнски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секретарият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образованє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предписаня</w:t>
                    </w:r>
                    <w:proofErr w:type="spellEnd"/>
                    <w:r>
                      <w:rPr>
                        <w:sz w:val="6"/>
                      </w:rPr>
                      <w:t xml:space="preserve">, </w:t>
                    </w:r>
                    <w:proofErr w:type="spellStart"/>
                    <w:r>
                      <w:rPr>
                        <w:sz w:val="6"/>
                      </w:rPr>
                      <w:t>управу</w:t>
                    </w:r>
                    <w:proofErr w:type="spellEnd"/>
                    <w:r>
                      <w:rPr>
                        <w:sz w:val="6"/>
                      </w:rPr>
                      <w:t xml:space="preserve"> и </w:t>
                    </w:r>
                    <w:proofErr w:type="spellStart"/>
                    <w:r>
                      <w:rPr>
                        <w:sz w:val="6"/>
                      </w:rPr>
                      <w:t>национални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меншини-национални</w:t>
                    </w:r>
                    <w:proofErr w:type="spellEnd"/>
                    <w:r>
                      <w:rPr>
                        <w:sz w:val="6"/>
                      </w:rPr>
                      <w:t xml:space="preserve"> </w:t>
                    </w:r>
                    <w:proofErr w:type="spellStart"/>
                    <w:r>
                      <w:rPr>
                        <w:sz w:val="6"/>
                      </w:rPr>
                      <w:t>заєднїци</w:t>
                    </w:r>
                    <w:proofErr w:type="spellEnd"/>
                  </w:p>
                  <w:p w:rsidR="00F13A3A" w:rsidRDefault="009C7DD9">
                    <w:pPr>
                      <w:spacing w:before="1"/>
                      <w:ind w:left="1463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Nový Sad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13A3A">
      <w:pgSz w:w="11910" w:h="16840"/>
      <w:pgMar w:top="9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D9" w:rsidRDefault="009C7DD9" w:rsidP="00914BE8">
      <w:r>
        <w:separator/>
      </w:r>
    </w:p>
  </w:endnote>
  <w:endnote w:type="continuationSeparator" w:id="0">
    <w:p w:rsidR="009C7DD9" w:rsidRDefault="009C7DD9" w:rsidP="009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D9" w:rsidRDefault="009C7DD9" w:rsidP="00914BE8">
      <w:r>
        <w:separator/>
      </w:r>
    </w:p>
  </w:footnote>
  <w:footnote w:type="continuationSeparator" w:id="0">
    <w:p w:rsidR="009C7DD9" w:rsidRDefault="009C7DD9" w:rsidP="0091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3A3A"/>
    <w:rsid w:val="005347C4"/>
    <w:rsid w:val="006B11B5"/>
    <w:rsid w:val="00914BE8"/>
    <w:rsid w:val="009C7DD9"/>
    <w:rsid w:val="00B32854"/>
    <w:rsid w:val="00F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6D74FF"/>
  <w15:docId w15:val="{5A994CA4-6BFC-4D13-85BE-A2E42CE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19" w:right="93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4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BE8"/>
    <w:rPr>
      <w:rFonts w:ascii="Calibri" w:eastAsia="Calibri" w:hAnsi="Calibri" w:cs="Times New Roman"/>
      <w:lang w:eastAsia="mk"/>
    </w:rPr>
  </w:style>
  <w:style w:type="paragraph" w:styleId="Footer">
    <w:name w:val="footer"/>
    <w:basedOn w:val="Normal"/>
    <w:link w:val="FooterChar"/>
    <w:uiPriority w:val="99"/>
    <w:unhideWhenUsed/>
    <w:rsid w:val="00914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BE8"/>
    <w:rPr>
      <w:rFonts w:ascii="Calibri" w:eastAsia="Calibri" w:hAnsi="Calibri" w:cs="Times New Roman"/>
      <w:lang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Zdenka Valent</cp:lastModifiedBy>
  <cp:revision>4</cp:revision>
  <dcterms:created xsi:type="dcterms:W3CDTF">2025-05-08T09:45:00Z</dcterms:created>
  <dcterms:modified xsi:type="dcterms:W3CDTF">2025-05-08T10:21:00Z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</Properties>
</file>