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3D02BC" w:rsidP="00415218">
            <w:pPr>
              <w:rPr>
                <w:sz w:val="18"/>
                <w:szCs w:val="18"/>
                <w:rFonts w:ascii="Calibri" w:hAnsi="Calibri" w:cs="Calibri"/>
              </w:rPr>
            </w:pPr>
            <w:r>
              <w:rPr>
                <w:sz w:val="18"/>
                <w:szCs w:val="18"/>
                <w:rFonts w:ascii="Calibri" w:hAnsi="Calibri"/>
              </w:rPr>
              <w:t xml:space="preserve">+-  </w:t>
            </w:r>
            <w:r w:rsidR="00CB7FBE" w:rsidRPr="00FF3EB0">
              <w:rPr>
                <w:sz w:val="18"/>
                <w:szCs w:val="18"/>
                <w:rFonts w:ascii="Calibri" w:hAnsi="Calibri"/>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b/>
                <w:bCs/>
                <w:i/>
                <w:iCs/>
                <w:sz w:val="18"/>
                <w:szCs w:val="18"/>
                <w:rFonts w:ascii="Calibri" w:hAnsi="Calibri" w:cs="Calibri"/>
              </w:rPr>
            </w:pPr>
            <w:r>
              <w:rPr>
                <w:b/>
                <w:bCs/>
                <w:i/>
                <w:iCs/>
                <w:sz w:val="18"/>
                <w:szCs w:val="18"/>
                <w:rFonts w:ascii="Calibri" w:hAnsi="Calibri"/>
              </w:rPr>
              <w:t xml:space="preserve">Forumul pentru educație, cooperare, afirmare și sprijin societăţii civice</w:t>
            </w:r>
          </w:p>
          <w:p w:rsidR="00CB7FBE" w:rsidRPr="00FF3EB0" w:rsidRDefault="00CB7FBE" w:rsidP="00415218">
            <w:pPr>
              <w:rPr>
                <w:sz w:val="18"/>
                <w:szCs w:val="18"/>
                <w:rFonts w:ascii="Calibri"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6" w:history="1">
              <w:r>
                <w:rPr>
                  <w:rStyle w:val="Hyperlink"/>
                  <w:sz w:val="18"/>
                  <w:szCs w:val="18"/>
                  <w:rFonts w:ascii="Calibri" w:hAnsi="Calibri"/>
                </w:rPr>
                <w:t xml:space="preserve">www.fesap.org.rs</w:t>
              </w:r>
            </w:hyperlink>
            <w:r>
              <w:rPr>
                <w:sz w:val="18"/>
                <w:szCs w:val="18"/>
                <w:rFonts w:ascii="Calibri" w:hAnsi="Calibri"/>
              </w:rPr>
              <w:t xml:space="preserve">    email:</w:t>
            </w:r>
            <w:r>
              <w:rPr>
                <w:sz w:val="18"/>
                <w:szCs w:val="18"/>
                <w:rFonts w:ascii="Calibri" w:hAnsi="Calibri"/>
              </w:rPr>
              <w:t xml:space="preserve"> </w:t>
            </w:r>
            <w:hyperlink r:id="rId7" w:history="1">
              <w:r>
                <w:rPr>
                  <w:rStyle w:val="Hyperlink"/>
                  <w:sz w:val="18"/>
                  <w:szCs w:val="18"/>
                  <w:rFonts w:ascii="Calibri" w:hAnsi="Calibri"/>
                </w:rPr>
                <w:t xml:space="preserve">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b/>
                <w:bCs/>
                <w:i/>
                <w:iCs/>
                <w:sz w:val="18"/>
                <w:szCs w:val="18"/>
                <w:rFonts w:ascii="Calibri" w:hAnsi="Calibri" w:cs="Calibri"/>
              </w:rPr>
            </w:pPr>
            <w:r>
              <w:rPr>
                <w:b/>
                <w:bCs/>
                <w:i/>
                <w:iCs/>
                <w:sz w:val="18"/>
                <w:szCs w:val="18"/>
                <w:rFonts w:ascii="Calibri" w:hAnsi="Calibri"/>
              </w:rPr>
              <w:t xml:space="preserve">Forumul pentru educaţie, cooperare, afirmare şi sprijin societăţii civice</w:t>
            </w:r>
          </w:p>
          <w:p w:rsidR="00CB7FBE" w:rsidRPr="00FF3EB0" w:rsidRDefault="00CB7FBE" w:rsidP="00415218">
            <w:pPr>
              <w:rPr>
                <w:sz w:val="18"/>
                <w:szCs w:val="18"/>
                <w:rFonts w:ascii="Calibri"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8" w:history="1">
              <w:r>
                <w:rPr>
                  <w:rStyle w:val="Hyperlink"/>
                  <w:sz w:val="18"/>
                  <w:szCs w:val="18"/>
                  <w:rFonts w:ascii="Calibri" w:hAnsi="Calibri"/>
                </w:rPr>
                <w:t xml:space="preserve">www.fesap.org.rs</w:t>
              </w:r>
            </w:hyperlink>
            <w:r>
              <w:rPr>
                <w:sz w:val="18"/>
                <w:szCs w:val="18"/>
                <w:rFonts w:ascii="Calibri" w:hAnsi="Calibri"/>
              </w:rPr>
              <w:t xml:space="preserve">    е-mail:</w:t>
            </w:r>
            <w:r>
              <w:rPr>
                <w:sz w:val="18"/>
                <w:szCs w:val="18"/>
                <w:rFonts w:ascii="Calibri" w:hAnsi="Calibri"/>
              </w:rPr>
              <w:t xml:space="preserve"> </w:t>
            </w:r>
            <w:hyperlink r:id="rId9" w:history="1">
              <w:r>
                <w:rPr>
                  <w:rStyle w:val="Hyperlink"/>
                  <w:sz w:val="18"/>
                  <w:szCs w:val="18"/>
                  <w:rFonts w:ascii="Calibri" w:hAnsi="Calibri"/>
                </w:rPr>
                <w:t xml:space="preserve">office@fesap.org.rs</w:t>
              </w:r>
            </w:hyperlink>
          </w:p>
          <w:p w:rsidR="00CB7FBE" w:rsidRPr="00FF3EB0" w:rsidRDefault="00CB7FBE" w:rsidP="00415218">
            <w:pPr>
              <w:rPr>
                <w:rFonts w:ascii="Calibri" w:hAnsi="Calibri" w:cs="Calibri"/>
                <w:sz w:val="18"/>
                <w:szCs w:val="18"/>
              </w:rPr>
            </w:pPr>
          </w:p>
        </w:tc>
      </w:tr>
    </w:tbl>
    <w:p w:rsidR="00592C69" w:rsidRDefault="00CB7FBE" w:rsidP="00CB7FBE">
      <w:pPr>
        <w:ind w:firstLine="708"/>
        <w:jc w:val="both"/>
        <w:rPr>
          <w:bCs/>
          <w:noProof/>
          <w:sz w:val="18"/>
          <w:szCs w:val="18"/>
          <w:rFonts w:asciiTheme="minorHAnsi" w:hAnsiTheme="minorHAnsi"/>
        </w:rPr>
      </w:pPr>
      <w:r>
        <w:rPr>
          <w:bCs/>
          <w:sz w:val="18"/>
          <w:szCs w:val="18"/>
          <w:rFonts w:asciiTheme="minorHAnsi" w:hAnsiTheme="minorHAnsi"/>
        </w:rPr>
        <w:t xml:space="preserve">Numărul 18/ 2025</w:t>
        <w:tab/>
        <w:tab/>
        <w:tab/>
        <w:t xml:space="preserve">Data:</w:t>
      </w:r>
      <w:r>
        <w:rPr>
          <w:bCs/>
          <w:sz w:val="18"/>
          <w:szCs w:val="18"/>
          <w:rFonts w:asciiTheme="minorHAnsi" w:hAnsiTheme="minorHAnsi"/>
        </w:rPr>
        <w:t xml:space="preserve"> </w:t>
      </w:r>
      <w:r>
        <w:rPr>
          <w:bCs/>
          <w:sz w:val="18"/>
          <w:szCs w:val="18"/>
          <w:rFonts w:asciiTheme="minorHAnsi" w:hAnsiTheme="minorHAnsi"/>
        </w:rPr>
        <w:t xml:space="preserve">13.06.2025</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bCs/>
          <w:noProof/>
          <w:sz w:val="22"/>
          <w:szCs w:val="22"/>
          <w:rFonts w:asciiTheme="minorHAnsi" w:hAnsiTheme="minorHAnsi"/>
        </w:rPr>
      </w:pPr>
      <w:r>
        <w:rPr>
          <w:bCs/>
          <w:sz w:val="22"/>
          <w:szCs w:val="22"/>
          <w:rFonts w:asciiTheme="minorHAnsi" w:hAnsiTheme="minorHAnsi"/>
        </w:rPr>
        <w:t xml:space="preserve">În baza deciziei privind repartizarea mijloacelor bugetare conform Concursului public pentru cofinanţarea subproiectului „Multiculturalismul pe clic” numărul 000236270 2025 09427 005 001 084 010 04 008 din 7 aprilie 2025, precum și propunerea comisiei de concurs pentru examinarea, evaluarea și punctajul cererilor prezentate la Concurs pentru alegerea lucrării fotografice pe tema „Frumusețea multiculturalismului”, din Procesul-verbal nr. 16/2025 din 13.06.2025, preşedinta Consiliului de administraţie al Forumului pentru educație, cooperare, afirmare și sprijin societăţii civice (în continuare:</w:t>
      </w:r>
      <w:r>
        <w:rPr>
          <w:bCs/>
          <w:sz w:val="22"/>
          <w:szCs w:val="22"/>
          <w:rFonts w:asciiTheme="minorHAnsi" w:hAnsiTheme="minorHAnsi"/>
        </w:rPr>
        <w:t xml:space="preserve"> </w:t>
      </w:r>
      <w:r>
        <w:rPr>
          <w:bCs/>
          <w:sz w:val="22"/>
          <w:szCs w:val="22"/>
          <w:rFonts w:asciiTheme="minorHAnsi" w:hAnsiTheme="minorHAnsi"/>
        </w:rPr>
        <w:t xml:space="preserve">FESAP) din Novi Sad, emite</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b/>
          <w:bCs/>
          <w:noProof/>
          <w:sz w:val="22"/>
          <w:szCs w:val="22"/>
          <w:rFonts w:asciiTheme="minorHAnsi" w:hAnsiTheme="minorHAnsi"/>
        </w:rPr>
      </w:pPr>
      <w:r>
        <w:rPr>
          <w:b/>
          <w:bCs/>
          <w:sz w:val="22"/>
          <w:szCs w:val="22"/>
          <w:rFonts w:asciiTheme="minorHAnsi" w:hAnsiTheme="minorHAnsi"/>
        </w:rPr>
        <w:t xml:space="preserve">Decizia</w:t>
      </w:r>
    </w:p>
    <w:p w:rsidR="00CB7FBE" w:rsidRPr="002460E3" w:rsidRDefault="00CB7FBE" w:rsidP="00CB7FBE">
      <w:pPr>
        <w:jc w:val="center"/>
        <w:rPr>
          <w:b/>
          <w:bCs/>
          <w:noProof/>
          <w:sz w:val="22"/>
          <w:szCs w:val="22"/>
          <w:rFonts w:asciiTheme="minorHAnsi" w:hAnsiTheme="minorHAnsi"/>
        </w:rPr>
      </w:pPr>
      <w:r>
        <w:rPr>
          <w:b/>
          <w:bCs/>
          <w:sz w:val="22"/>
          <w:szCs w:val="22"/>
          <w:rFonts w:asciiTheme="minorHAnsi" w:hAnsiTheme="minorHAnsi"/>
        </w:rPr>
        <w:t xml:space="preserve">privind alegerea lucrărilor premiate la Concurs pentru alegerea lucrării fotografice pe tema „Frumusețea multiculturalismului” </w:t>
      </w:r>
      <w:r>
        <w:rPr>
          <w:b/>
          <w:bCs/>
          <w:sz w:val="22"/>
          <w:szCs w:val="22"/>
          <w:rFonts w:asciiTheme="minorHAnsi" w:hAnsiTheme="minorHAnsi"/>
        </w:rPr>
        <w:t xml:space="preserve">      </w:t>
      </w:r>
    </w:p>
    <w:p w:rsidR="00CB7FBE" w:rsidRPr="002460E3" w:rsidRDefault="00CA546E" w:rsidP="00CB7FBE">
      <w:pPr>
        <w:jc w:val="center"/>
        <w:rPr>
          <w:b/>
          <w:bCs/>
          <w:noProof/>
          <w:sz w:val="22"/>
          <w:szCs w:val="22"/>
          <w:rFonts w:asciiTheme="minorHAnsi" w:hAnsiTheme="minorHAnsi"/>
        </w:rPr>
      </w:pPr>
      <w:r>
        <w:rPr>
          <w:b/>
          <w:bCs/>
          <w:sz w:val="22"/>
          <w:szCs w:val="22"/>
          <w:rFonts w:asciiTheme="minorHAnsi" w:hAnsiTheme="minorHAnsi"/>
        </w:rPr>
        <w:t xml:space="preserve"> </w:t>
      </w:r>
    </w:p>
    <w:p w:rsidR="00CB7FBE" w:rsidRPr="002460E3" w:rsidRDefault="00CB7FBE" w:rsidP="00CB7FBE">
      <w:pPr>
        <w:jc w:val="center"/>
        <w:rPr>
          <w:b/>
          <w:noProof/>
          <w:sz w:val="22"/>
          <w:szCs w:val="22"/>
          <w:rFonts w:asciiTheme="minorHAnsi" w:hAnsiTheme="minorHAnsi"/>
        </w:rPr>
      </w:pPr>
      <w:r>
        <w:rPr>
          <w:b/>
          <w:sz w:val="22"/>
          <w:szCs w:val="22"/>
          <w:b/>
          <w:b/>
          <w:b/>
          <w:b/>
          <w:b/>
          <w:rFonts w:asciiTheme="minorHAnsi" w:hAnsiTheme="minorHAnsi"/>
        </w:rPr>
        <w:t xml:space="preserve">I</w:t>
      </w:r>
    </w:p>
    <w:p w:rsidR="00CB7FBE" w:rsidRPr="002460E3" w:rsidRDefault="00CB7FBE" w:rsidP="00CB7FBE">
      <w:pPr>
        <w:jc w:val="center"/>
        <w:rPr>
          <w:rFonts w:asciiTheme="minorHAnsi" w:hAnsiTheme="minorHAnsi"/>
          <w:b/>
          <w:noProof/>
          <w:sz w:val="22"/>
          <w:szCs w:val="22"/>
          <w:lang w:val="sr-Latn-RS"/>
        </w:rPr>
      </w:pPr>
    </w:p>
    <w:p w:rsidR="00CB7FBE" w:rsidRPr="002460E3" w:rsidRDefault="00CB7FBE" w:rsidP="00CB7FBE">
      <w:pPr>
        <w:ind w:right="-46" w:firstLine="540"/>
        <w:jc w:val="both"/>
        <w:rPr>
          <w:bCs/>
          <w:noProof/>
          <w:sz w:val="22"/>
          <w:szCs w:val="22"/>
          <w:rFonts w:asciiTheme="minorHAnsi" w:hAnsiTheme="minorHAnsi"/>
        </w:rPr>
      </w:pPr>
      <w:r>
        <w:rPr>
          <w:sz w:val="22"/>
          <w:szCs w:val="22"/>
          <w:bCs/>
          <w:rFonts w:asciiTheme="minorHAnsi" w:hAnsiTheme="minorHAnsi"/>
        </w:rPr>
        <w:t xml:space="preserve">În baza Concursului public pentru cofinanţarea subproiectului „Multiculturalismul pe clic”,  publicat la data de 29.01.2025 sub numărul</w:t>
      </w:r>
      <w:r>
        <w:rPr>
          <w:sz w:val="22"/>
          <w:szCs w:val="22"/>
          <w:rFonts w:ascii="Calibri" w:hAnsi="Calibri"/>
        </w:rPr>
        <w:t xml:space="preserve"> </w:t>
      </w:r>
      <w:r>
        <w:rPr>
          <w:sz w:val="22"/>
          <w:szCs w:val="22"/>
          <w:bCs/>
          <w:bCs/>
          <w:rFonts w:asciiTheme="minorHAnsi" w:hAnsiTheme="minorHAnsi"/>
        </w:rPr>
        <w:t xml:space="preserve">000236270 2025 09427 005 001 084 010 04 008</w:t>
      </w:r>
      <w:r>
        <w:rPr>
          <w:sz w:val="22"/>
          <w:szCs w:val="22"/>
          <w:bCs/>
          <w:rFonts w:asciiTheme="minorHAnsi" w:hAnsiTheme="minorHAnsi"/>
        </w:rPr>
        <w:t xml:space="preserve"> care a fost publicat în „Buletinul oficial al P.A. Voivodina” numărul 6/2025, la data de 29.01.2025, precum și a Concursulului pentru alegerea lucrării fotografice pe tema „Frumusețea multiculturalismului”, pe care FESAP l-a publicat pe site-ul său și pe site-ul Secretariatului Provincial pentru Educație, Reglementări, Administrație și Minoritățile Naționale - Comunitățile Naționale (în continuare:</w:t>
      </w:r>
      <w:r>
        <w:rPr>
          <w:sz w:val="22"/>
          <w:szCs w:val="22"/>
          <w:bCs/>
          <w:rFonts w:asciiTheme="minorHAnsi" w:hAnsiTheme="minorHAnsi"/>
        </w:rPr>
        <w:t xml:space="preserve"> </w:t>
      </w:r>
      <w:r>
        <w:rPr>
          <w:sz w:val="22"/>
          <w:szCs w:val="22"/>
          <w:bCs/>
          <w:rFonts w:asciiTheme="minorHAnsi" w:hAnsiTheme="minorHAnsi"/>
        </w:rPr>
        <w:t xml:space="preserve">Secretariatul) la data de 23.05.2025, după examinarea cererilor valide şi sosite la timp, Comisia prin adoptarea procesului-verbal numărul 16/2025 din 13.06.2025, a stabilit următoarea listă de lucrări premiate:</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sz w:val="17"/>
                <w:szCs w:val="17"/>
                <w:rFonts w:cs="Arial"/>
              </w:rPr>
            </w:pPr>
            <w:r>
              <w:rPr>
                <w:sz w:val="17"/>
                <w:szCs w:val="17"/>
              </w:rPr>
              <w:t xml:space="preserve">Nr.crt.</w:t>
            </w:r>
          </w:p>
          <w:p w:rsidR="00942C48" w:rsidRPr="00ED2BED" w:rsidRDefault="00942C48" w:rsidP="00942C48">
            <w:pPr>
              <w:pStyle w:val="BodyTextIndent"/>
              <w:spacing w:after="0"/>
              <w:ind w:left="0"/>
              <w:jc w:val="center"/>
              <w:rPr>
                <w:sz w:val="17"/>
                <w:szCs w:val="17"/>
                <w:rFonts w:cs="Arial"/>
              </w:rPr>
            </w:pPr>
            <w:r>
              <w:rPr>
                <w:sz w:val="17"/>
                <w:szCs w:val="17"/>
              </w:rPr>
              <w:t xml:space="preserve">de clasament</w:t>
            </w:r>
          </w:p>
        </w:tc>
        <w:tc>
          <w:tcPr>
            <w:tcW w:w="180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Prenumele şi numele elevului:</w:t>
            </w:r>
          </w:p>
        </w:tc>
        <w:tc>
          <w:tcPr>
            <w:tcW w:w="117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Localitatea</w:t>
            </w:r>
          </w:p>
        </w:tc>
        <w:tc>
          <w:tcPr>
            <w:tcW w:w="81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Numărul de puncte</w:t>
            </w:r>
          </w:p>
        </w:tc>
        <w:tc>
          <w:tcPr>
            <w:tcW w:w="171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Denumirea lucrării</w:t>
            </w:r>
          </w:p>
        </w:tc>
        <w:tc>
          <w:tcPr>
            <w:tcW w:w="189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Şcoala</w:t>
            </w:r>
          </w:p>
        </w:tc>
        <w:tc>
          <w:tcPr>
            <w:tcW w:w="306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Premiul</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sz w:val="17"/>
                <w:szCs w:val="17"/>
                <w:rFonts w:cs="Arial"/>
              </w:rPr>
            </w:pPr>
            <w:r>
              <w:rPr>
                <w:sz w:val="17"/>
                <w:szCs w:val="17"/>
              </w:rPr>
              <w:t xml:space="preserve">1</w:t>
            </w:r>
            <w:r>
              <w:rPr>
                <w:sz w:val="17"/>
                <w:szCs w:val="17"/>
              </w:rPr>
              <w:t xml:space="preserve">.</w:t>
            </w:r>
          </w:p>
        </w:tc>
        <w:tc>
          <w:tcPr>
            <w:tcW w:w="1800" w:type="dxa"/>
            <w:shd w:val="clear" w:color="auto" w:fill="auto"/>
          </w:tcPr>
          <w:p w:rsidR="005E5797" w:rsidRDefault="005E5797" w:rsidP="00942C48">
            <w:pPr>
              <w:spacing w:after="120"/>
              <w:jc w:val="center"/>
              <w:rPr>
                <w:rFonts w:cs="Arial"/>
                <w:noProof/>
                <w:sz w:val="18"/>
                <w:szCs w:val="18"/>
                <w:lang w:val="sr-Cyrl-RS"/>
              </w:rPr>
            </w:pPr>
          </w:p>
          <w:p w:rsidR="00942C48" w:rsidRPr="00F3173A" w:rsidRDefault="005E5797" w:rsidP="00942C48">
            <w:pPr>
              <w:spacing w:after="120"/>
              <w:jc w:val="center"/>
              <w:rPr>
                <w:noProof/>
                <w:sz w:val="18"/>
                <w:szCs w:val="18"/>
                <w:rFonts w:cs="Arial"/>
              </w:rPr>
            </w:pPr>
            <w:r>
              <w:rPr>
                <w:sz w:val="18"/>
                <w:szCs w:val="18"/>
              </w:rPr>
              <w:t xml:space="preserve">Hristina Remeljej</w:t>
            </w:r>
          </w:p>
        </w:tc>
        <w:tc>
          <w:tcPr>
            <w:tcW w:w="1170" w:type="dxa"/>
          </w:tcPr>
          <w:p w:rsidR="005E5797" w:rsidRDefault="005E5797" w:rsidP="005E5797">
            <w:pPr>
              <w:rPr>
                <w:rFonts w:cs="Arial"/>
                <w:noProof/>
                <w:sz w:val="18"/>
                <w:szCs w:val="18"/>
                <w:lang w:val="sr-Cyrl-RS"/>
              </w:rPr>
            </w:pPr>
          </w:p>
          <w:p w:rsidR="005E5797" w:rsidRDefault="005E5797" w:rsidP="005E5797">
            <w:pPr>
              <w:rPr>
                <w:rFonts w:cs="Arial"/>
                <w:noProof/>
                <w:sz w:val="18"/>
                <w:szCs w:val="18"/>
                <w:lang w:val="sr-Cyrl-RS"/>
              </w:rPr>
            </w:pPr>
          </w:p>
          <w:p w:rsidR="00942C48" w:rsidRPr="00087F0B" w:rsidRDefault="005E5797" w:rsidP="00942C48">
            <w:pPr>
              <w:jc w:val="center"/>
              <w:rPr>
                <w:noProof/>
                <w:sz w:val="18"/>
                <w:szCs w:val="18"/>
                <w:rFonts w:cs="Arial"/>
              </w:rPr>
            </w:pPr>
            <w:r>
              <w:rPr>
                <w:sz w:val="18"/>
                <w:szCs w:val="18"/>
              </w:rPr>
              <w:t xml:space="preserve">Kovilj</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Default="00942C48" w:rsidP="00942C48">
            <w:pPr>
              <w:jc w:val="center"/>
              <w:rPr>
                <w:rFonts w:cs="Arial"/>
                <w:noProof/>
                <w:sz w:val="18"/>
                <w:szCs w:val="18"/>
                <w:lang w:val="sr-Cyrl-RS"/>
              </w:rPr>
            </w:pPr>
          </w:p>
          <w:p w:rsidR="005E5797" w:rsidRPr="00D60E4F" w:rsidRDefault="005E5797" w:rsidP="00942C48">
            <w:pPr>
              <w:jc w:val="center"/>
              <w:rPr>
                <w:rFonts w:cs="Arial"/>
                <w:noProof/>
                <w:sz w:val="18"/>
                <w:szCs w:val="18"/>
                <w:lang w:val="sr-Cyrl-RS"/>
              </w:rPr>
            </w:pPr>
          </w:p>
          <w:p w:rsidR="00942C48" w:rsidRPr="00D60E4F" w:rsidRDefault="00547048" w:rsidP="00942C48">
            <w:pPr>
              <w:jc w:val="center"/>
              <w:rPr>
                <w:noProof/>
                <w:sz w:val="18"/>
                <w:szCs w:val="18"/>
                <w:rFonts w:cs="Arial"/>
              </w:rPr>
            </w:pPr>
            <w:r>
              <w:rPr>
                <w:sz w:val="18"/>
                <w:szCs w:val="18"/>
              </w:rPr>
              <w:t xml:space="preserve">16</w:t>
            </w:r>
          </w:p>
        </w:tc>
        <w:tc>
          <w:tcPr>
            <w:tcW w:w="1710" w:type="dxa"/>
          </w:tcPr>
          <w:p w:rsidR="005E5797" w:rsidRDefault="005E5797" w:rsidP="00942C48">
            <w:pPr>
              <w:jc w:val="center"/>
              <w:rPr>
                <w:rFonts w:cs="Arial"/>
                <w:noProof/>
                <w:sz w:val="18"/>
                <w:szCs w:val="18"/>
                <w:lang w:val="sr-Cyrl-RS"/>
              </w:rPr>
            </w:pPr>
          </w:p>
          <w:p w:rsidR="00942C48" w:rsidRPr="00A26E5D" w:rsidRDefault="005E5797" w:rsidP="00942C48">
            <w:pPr>
              <w:jc w:val="center"/>
              <w:rPr>
                <w:noProof/>
                <w:sz w:val="18"/>
                <w:szCs w:val="18"/>
                <w:rFonts w:cs="Arial"/>
              </w:rPr>
            </w:pPr>
            <w:r>
              <w:rPr>
                <w:sz w:val="18"/>
                <w:szCs w:val="18"/>
              </w:rPr>
              <w:t xml:space="preserve">Frumusețea multiculturalismului</w:t>
            </w:r>
          </w:p>
        </w:tc>
        <w:tc>
          <w:tcPr>
            <w:tcW w:w="1890" w:type="dxa"/>
            <w:shd w:val="clear" w:color="auto" w:fill="auto"/>
          </w:tcPr>
          <w:p w:rsidR="00942C48" w:rsidRDefault="00942C48" w:rsidP="00942C48">
            <w:pPr>
              <w:jc w:val="center"/>
              <w:rPr>
                <w:rFonts w:cs="Arial"/>
                <w:noProof/>
                <w:sz w:val="18"/>
                <w:szCs w:val="18"/>
                <w:lang w:val="sr-Cyrl-RS"/>
              </w:rPr>
            </w:pPr>
          </w:p>
          <w:p w:rsidR="005E5797" w:rsidRDefault="005E5797" w:rsidP="005E5797">
            <w:pPr>
              <w:jc w:val="center"/>
              <w:rPr>
                <w:rFonts w:cs="Arial"/>
                <w:noProof/>
                <w:sz w:val="18"/>
                <w:szCs w:val="18"/>
                <w:lang w:val="sr-Cyrl-RS"/>
              </w:rPr>
            </w:pPr>
          </w:p>
          <w:p w:rsidR="00942C48" w:rsidRPr="00D60E4F" w:rsidRDefault="00942C48" w:rsidP="005E5797">
            <w:pPr>
              <w:jc w:val="center"/>
              <w:rPr>
                <w:noProof/>
                <w:sz w:val="18"/>
                <w:szCs w:val="18"/>
                <w:rFonts w:cs="Arial"/>
              </w:rPr>
            </w:pPr>
            <w:r>
              <w:rPr>
                <w:sz w:val="18"/>
                <w:szCs w:val="18"/>
              </w:rPr>
              <w:t xml:space="preserve">ȘE Laza Kostić</w:t>
            </w:r>
          </w:p>
        </w:tc>
        <w:tc>
          <w:tcPr>
            <w:tcW w:w="3060" w:type="dxa"/>
            <w:shd w:val="clear" w:color="auto" w:fill="auto"/>
          </w:tcPr>
          <w:p w:rsidR="00942C48" w:rsidRPr="00CE55E6" w:rsidRDefault="00C979A3" w:rsidP="00942C48">
            <w:pPr>
              <w:jc w:val="center"/>
              <w:rPr>
                <w:noProof/>
                <w:sz w:val="18"/>
                <w:szCs w:val="18"/>
                <w:rFonts w:cs="Arial"/>
              </w:rPr>
            </w:pPr>
            <w:r>
              <w:rPr>
                <w:sz w:val="20"/>
                <w:szCs w:val="20"/>
                <w:rFonts w:ascii="Calibri" w:hAnsi="Calibri"/>
              </w:rPr>
              <w:t xml:space="preserve">-Telefon mobil:</w:t>
            </w:r>
            <w:r>
              <w:rPr>
                <w:sz w:val="20"/>
                <w:szCs w:val="20"/>
                <w:rFonts w:ascii="Calibri" w:hAnsi="Calibri"/>
              </w:rPr>
              <w:t xml:space="preserve"> </w:t>
            </w:r>
            <w:r>
              <w:rPr>
                <w:sz w:val="20"/>
                <w:szCs w:val="20"/>
                <w:rFonts w:ascii="Calibri" w:hAnsi="Calibri"/>
              </w:rPr>
              <w:t xml:space="preserve">Xiaomi Redmi Note 14 Pro 5G EU 8 + 256 PCC Coral Green; -</w:t>
              <w:tab/>
              <w:t xml:space="preserve">Memorie transferabilă:</w:t>
            </w:r>
            <w:r>
              <w:rPr>
                <w:sz w:val="20"/>
                <w:szCs w:val="20"/>
                <w:rFonts w:ascii="Calibri" w:hAnsi="Calibri"/>
              </w:rPr>
              <w:t xml:space="preserve"> </w:t>
            </w:r>
            <w:r>
              <w:rPr>
                <w:sz w:val="20"/>
                <w:szCs w:val="20"/>
                <w:rFonts w:ascii="Calibri" w:hAnsi="Calibri"/>
              </w:rPr>
              <w:t xml:space="preserve">USB flash drive Kingston DTX/ 256GB</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sz w:val="17"/>
                <w:szCs w:val="17"/>
                <w:rFonts w:cs="Arial"/>
              </w:rPr>
            </w:pPr>
            <w:r>
              <w:rPr>
                <w:sz w:val="17"/>
                <w:szCs w:val="17"/>
              </w:rPr>
              <w:t xml:space="preserve">2.</w:t>
            </w:r>
          </w:p>
        </w:tc>
        <w:tc>
          <w:tcPr>
            <w:tcW w:w="1800" w:type="dxa"/>
            <w:shd w:val="clear" w:color="auto" w:fill="auto"/>
          </w:tcPr>
          <w:p w:rsidR="00942C48" w:rsidRPr="00D60E4F" w:rsidRDefault="005E5797" w:rsidP="005E5797">
            <w:pPr>
              <w:jc w:val="center"/>
              <w:rPr>
                <w:noProof/>
                <w:sz w:val="18"/>
                <w:szCs w:val="18"/>
                <w:rFonts w:cs="Arial"/>
              </w:rPr>
            </w:pPr>
            <w:r>
              <w:rPr>
                <w:sz w:val="18"/>
                <w:szCs w:val="18"/>
              </w:rPr>
              <w:t xml:space="preserve">Mihajlo Borjanović</w:t>
            </w:r>
          </w:p>
        </w:tc>
        <w:tc>
          <w:tcPr>
            <w:tcW w:w="1170" w:type="dxa"/>
          </w:tcPr>
          <w:p w:rsidR="00942C48" w:rsidRDefault="00942C48" w:rsidP="00942C48">
            <w:pPr>
              <w:jc w:val="center"/>
              <w:rPr>
                <w:rFonts w:cs="Arial"/>
                <w:noProof/>
                <w:sz w:val="18"/>
                <w:szCs w:val="18"/>
                <w:lang w:val="sr-Cyrl-RS"/>
              </w:rPr>
            </w:pPr>
          </w:p>
          <w:p w:rsidR="00942C48" w:rsidRPr="00D60E4F" w:rsidRDefault="005E5797" w:rsidP="00942C48">
            <w:pPr>
              <w:jc w:val="center"/>
              <w:rPr>
                <w:noProof/>
                <w:sz w:val="18"/>
                <w:szCs w:val="18"/>
                <w:rFonts w:cs="Arial"/>
              </w:rPr>
            </w:pPr>
            <w:r>
              <w:rPr>
                <w:sz w:val="18"/>
                <w:szCs w:val="18"/>
              </w:rPr>
              <w:t xml:space="preserve">Zrenianin</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547048" w:rsidP="00942C48">
            <w:pPr>
              <w:jc w:val="center"/>
              <w:rPr>
                <w:noProof/>
                <w:sz w:val="18"/>
                <w:szCs w:val="18"/>
                <w:rFonts w:cs="Arial"/>
              </w:rPr>
            </w:pPr>
            <w:r>
              <w:rPr>
                <w:sz w:val="18"/>
                <w:szCs w:val="18"/>
              </w:rPr>
              <w:t xml:space="preserve">14</w:t>
            </w:r>
          </w:p>
        </w:tc>
        <w:tc>
          <w:tcPr>
            <w:tcW w:w="1710" w:type="dxa"/>
          </w:tcPr>
          <w:p w:rsidR="00942C48" w:rsidRPr="00D60E4F" w:rsidRDefault="005E5797" w:rsidP="00942C48">
            <w:pPr>
              <w:jc w:val="center"/>
              <w:rPr>
                <w:noProof/>
                <w:sz w:val="18"/>
                <w:szCs w:val="18"/>
                <w:rFonts w:cs="Arial"/>
              </w:rPr>
            </w:pPr>
            <w:r>
              <w:rPr>
                <w:sz w:val="18"/>
                <w:szCs w:val="18"/>
              </w:rPr>
              <w:t xml:space="preserve">Frumusețea multiculturalismului</w:t>
            </w:r>
          </w:p>
        </w:tc>
        <w:tc>
          <w:tcPr>
            <w:tcW w:w="1890" w:type="dxa"/>
            <w:shd w:val="clear" w:color="auto" w:fill="auto"/>
          </w:tcPr>
          <w:p w:rsidR="005E5797" w:rsidRDefault="005E5797" w:rsidP="005E5797">
            <w:pPr>
              <w:jc w:val="center"/>
              <w:rPr>
                <w:rFonts w:cs="Arial"/>
                <w:noProof/>
                <w:sz w:val="18"/>
                <w:szCs w:val="18"/>
                <w:lang w:val="sr-Cyrl-RS"/>
              </w:rPr>
            </w:pPr>
          </w:p>
          <w:p w:rsidR="00942C48" w:rsidRPr="00D60E4F" w:rsidRDefault="00942C48" w:rsidP="005E5797">
            <w:pPr>
              <w:jc w:val="center"/>
              <w:rPr>
                <w:noProof/>
                <w:sz w:val="18"/>
                <w:szCs w:val="18"/>
                <w:rFonts w:cs="Arial"/>
              </w:rPr>
            </w:pPr>
            <w:r>
              <w:rPr>
                <w:sz w:val="18"/>
                <w:szCs w:val="18"/>
              </w:rPr>
              <w:t xml:space="preserve">ŞE Đura Jakšić</w:t>
            </w:r>
          </w:p>
        </w:tc>
        <w:tc>
          <w:tcPr>
            <w:tcW w:w="3060" w:type="dxa"/>
            <w:shd w:val="clear" w:color="auto" w:fill="auto"/>
          </w:tcPr>
          <w:p w:rsidR="00942C48" w:rsidRPr="0086314D" w:rsidRDefault="00C979A3" w:rsidP="00942C48">
            <w:pPr>
              <w:jc w:val="center"/>
              <w:rPr>
                <w:noProof/>
                <w:sz w:val="20"/>
                <w:szCs w:val="20"/>
                <w:rFonts w:ascii="Calibri" w:eastAsia="Calibri" w:hAnsi="Calibri" w:cs="Calibri"/>
              </w:rPr>
            </w:pPr>
            <w:r>
              <w:rPr>
                <w:sz w:val="20"/>
                <w:szCs w:val="20"/>
                <w:rFonts w:ascii="Calibri" w:hAnsi="Calibri"/>
              </w:rPr>
              <w:t xml:space="preserve">-Ceas inteligent:</w:t>
            </w:r>
            <w:r>
              <w:rPr>
                <w:sz w:val="20"/>
                <w:szCs w:val="20"/>
                <w:rFonts w:ascii="Calibri" w:hAnsi="Calibri"/>
              </w:rPr>
              <w:t xml:space="preserve"> </w:t>
            </w:r>
            <w:r>
              <w:rPr>
                <w:sz w:val="20"/>
                <w:szCs w:val="20"/>
                <w:rFonts w:ascii="Calibri" w:hAnsi="Calibri"/>
              </w:rPr>
              <w:t xml:space="preserve">Samsung Galaxi Watcs 6 Small AL BT 40 mm auriu</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sz w:val="17"/>
                <w:szCs w:val="17"/>
                <w:rFonts w:cs="Arial"/>
              </w:rPr>
            </w:pPr>
            <w:r>
              <w:rPr>
                <w:sz w:val="17"/>
                <w:szCs w:val="17"/>
              </w:rPr>
              <w:t xml:space="preserve">3.</w:t>
            </w:r>
          </w:p>
        </w:tc>
        <w:tc>
          <w:tcPr>
            <w:tcW w:w="1800" w:type="dxa"/>
            <w:shd w:val="clear" w:color="auto" w:fill="auto"/>
          </w:tcPr>
          <w:p w:rsidR="0063606C" w:rsidRDefault="005E5797" w:rsidP="0063606C">
            <w:pPr>
              <w:jc w:val="center"/>
              <w:rPr>
                <w:noProof/>
                <w:sz w:val="18"/>
                <w:szCs w:val="18"/>
                <w:rFonts w:cs="Arial"/>
              </w:rPr>
            </w:pPr>
            <w:r>
              <w:rPr>
                <w:sz w:val="18"/>
                <w:szCs w:val="18"/>
              </w:rPr>
              <w:t xml:space="preserve">Kata Francia</w:t>
            </w:r>
          </w:p>
          <w:p w:rsidR="00942C48" w:rsidRPr="0063606C" w:rsidRDefault="0063606C" w:rsidP="00942C48">
            <w:pPr>
              <w:jc w:val="center"/>
              <w:rPr>
                <w:noProof/>
                <w:sz w:val="18"/>
                <w:szCs w:val="18"/>
                <w:rFonts w:cs="Arial"/>
              </w:rPr>
            </w:pPr>
            <w:r>
              <w:rPr>
                <w:sz w:val="18"/>
                <w:szCs w:val="18"/>
              </w:rPr>
              <w:t xml:space="preserve">(Francia Kata)</w:t>
            </w:r>
          </w:p>
        </w:tc>
        <w:tc>
          <w:tcPr>
            <w:tcW w:w="1170" w:type="dxa"/>
          </w:tcPr>
          <w:p w:rsidR="00942C48" w:rsidRDefault="00942C48" w:rsidP="00942C48">
            <w:pPr>
              <w:jc w:val="center"/>
              <w:rPr>
                <w:rFonts w:cs="Arial"/>
                <w:noProof/>
                <w:sz w:val="18"/>
                <w:szCs w:val="18"/>
                <w:lang w:val="sr-Cyrl-RS"/>
              </w:rPr>
            </w:pPr>
          </w:p>
          <w:p w:rsidR="00942C48" w:rsidRPr="00A26E5D" w:rsidRDefault="00D32392" w:rsidP="00942C48">
            <w:pPr>
              <w:jc w:val="center"/>
              <w:rPr>
                <w:noProof/>
                <w:sz w:val="18"/>
                <w:szCs w:val="18"/>
                <w:rFonts w:cs="Arial"/>
              </w:rPr>
            </w:pPr>
            <w:r>
              <w:rPr>
                <w:sz w:val="18"/>
                <w:szCs w:val="18"/>
              </w:rPr>
              <w:t xml:space="preserve">Temerin</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942C48" w:rsidP="00942C48">
            <w:pPr>
              <w:jc w:val="center"/>
              <w:rPr>
                <w:noProof/>
                <w:sz w:val="18"/>
                <w:szCs w:val="18"/>
                <w:rFonts w:cs="Arial"/>
              </w:rPr>
            </w:pPr>
            <w:r>
              <w:rPr>
                <w:sz w:val="18"/>
                <w:szCs w:val="18"/>
              </w:rPr>
              <w:t xml:space="preserve">13</w:t>
            </w:r>
          </w:p>
        </w:tc>
        <w:tc>
          <w:tcPr>
            <w:tcW w:w="1710" w:type="dxa"/>
          </w:tcPr>
          <w:p w:rsidR="00942C48" w:rsidRPr="009A609D" w:rsidRDefault="005E5797" w:rsidP="00EA632A">
            <w:pPr>
              <w:jc w:val="center"/>
              <w:rPr>
                <w:noProof/>
                <w:sz w:val="18"/>
                <w:szCs w:val="18"/>
                <w:rFonts w:cs="Arial"/>
              </w:rPr>
            </w:pPr>
            <w:r>
              <w:rPr>
                <w:sz w:val="18"/>
                <w:szCs w:val="18"/>
              </w:rPr>
              <w:t xml:space="preserve">Frumusețea multiculturalismului</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D32392">
            <w:pPr>
              <w:jc w:val="center"/>
              <w:rPr>
                <w:noProof/>
                <w:sz w:val="18"/>
                <w:szCs w:val="18"/>
                <w:rFonts w:cs="Arial"/>
              </w:rPr>
            </w:pPr>
            <w:r>
              <w:rPr>
                <w:sz w:val="18"/>
                <w:szCs w:val="18"/>
              </w:rPr>
              <w:t xml:space="preserve">ȘE Kókai Imre</w:t>
            </w:r>
            <w:r>
              <w:rPr>
                <w:sz w:val="18"/>
                <w:szCs w:val="18"/>
              </w:rPr>
              <w:t xml:space="preserve"> </w:t>
            </w:r>
          </w:p>
        </w:tc>
        <w:tc>
          <w:tcPr>
            <w:tcW w:w="3060" w:type="dxa"/>
            <w:shd w:val="clear" w:color="auto" w:fill="auto"/>
          </w:tcPr>
          <w:p w:rsidR="00942C48" w:rsidRPr="00D60E4F" w:rsidRDefault="00C979A3" w:rsidP="00942C48">
            <w:pPr>
              <w:jc w:val="center"/>
              <w:rPr>
                <w:noProof/>
                <w:sz w:val="18"/>
                <w:szCs w:val="18"/>
                <w:rFonts w:cs="Arial"/>
              </w:rPr>
            </w:pPr>
            <w:r>
              <w:rPr>
                <w:sz w:val="20"/>
                <w:szCs w:val="20"/>
                <w:rFonts w:ascii="Calibri" w:hAnsi="Calibri"/>
              </w:rPr>
              <w:t xml:space="preserve">-Boxă portabilă Bluetooth:</w:t>
            </w:r>
            <w:r>
              <w:rPr>
                <w:sz w:val="20"/>
                <w:szCs w:val="20"/>
                <w:rFonts w:ascii="Calibri" w:hAnsi="Calibri"/>
              </w:rPr>
              <w:t xml:space="preserve"> </w:t>
            </w:r>
            <w:r>
              <w:rPr>
                <w:sz w:val="20"/>
                <w:szCs w:val="20"/>
                <w:rFonts w:ascii="Calibri" w:hAnsi="Calibri"/>
              </w:rPr>
              <w:t xml:space="preserve">JBL Filip 6 Black M IP67 negru</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F3173A" w:rsidRDefault="00F3173A" w:rsidP="00F3173A">
      <w:pPr>
        <w:rPr>
          <w:rFonts w:asciiTheme="minorHAnsi" w:hAnsiTheme="minorHAnsi"/>
          <w:b/>
          <w:noProof/>
          <w:sz w:val="20"/>
          <w:szCs w:val="20"/>
          <w:lang w:val="sr-Latn-RS"/>
        </w:rPr>
      </w:pPr>
    </w:p>
    <w:p w:rsidR="00CB7FBE" w:rsidRDefault="00CB7FBE" w:rsidP="00CB7FBE">
      <w:pPr>
        <w:jc w:val="center"/>
        <w:rPr>
          <w:b/>
          <w:noProof/>
          <w:sz w:val="20"/>
          <w:szCs w:val="20"/>
          <w:rFonts w:asciiTheme="minorHAnsi" w:hAnsiTheme="minorHAnsi"/>
        </w:rPr>
      </w:pPr>
      <w:r>
        <w:rPr>
          <w:b/>
          <w:sz w:val="20"/>
          <w:szCs w:val="20"/>
          <w:rFonts w:asciiTheme="minorHAnsi" w:hAnsiTheme="minorHAnsi"/>
        </w:rPr>
        <w:t xml:space="preserve">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noProof/>
          <w:sz w:val="22"/>
          <w:szCs w:val="22"/>
          <w:rFonts w:asciiTheme="minorHAnsi" w:hAnsiTheme="minorHAnsi" w:cstheme="minorHAnsi"/>
        </w:rPr>
      </w:pPr>
      <w:r>
        <w:rPr>
          <w:sz w:val="22"/>
          <w:szCs w:val="22"/>
          <w:rFonts w:asciiTheme="minorHAnsi" w:hAnsiTheme="minorHAnsi"/>
        </w:rPr>
        <w:t xml:space="preserve">Prezenta decizie privind alegerea va fi publicată pe pagina oficială de internet a FESAP şi a Secretariatului.</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III</w:t>
      </w:r>
    </w:p>
    <w:p w:rsidR="00CB7FBE" w:rsidRPr="002460E3" w:rsidRDefault="00CB7FBE" w:rsidP="00CB7FBE">
      <w:pPr>
        <w:ind w:firstLine="709"/>
        <w:jc w:val="both"/>
        <w:rPr>
          <w:noProof/>
          <w:sz w:val="22"/>
          <w:szCs w:val="22"/>
          <w:rFonts w:asciiTheme="minorHAnsi" w:hAnsiTheme="minorHAnsi" w:cstheme="minorHAnsi"/>
        </w:rPr>
      </w:pPr>
      <w:r>
        <w:rPr>
          <w:sz w:val="22"/>
          <w:szCs w:val="22"/>
          <w:rFonts w:asciiTheme="minorHAnsi" w:hAnsiTheme="minorHAnsi"/>
        </w:rPr>
        <w:t xml:space="preserve">Prezenta decizie este definitivă.</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Expunerea de motive:</w:t>
      </w:r>
    </w:p>
    <w:p w:rsidR="00CB7FBE" w:rsidRPr="002460E3" w:rsidRDefault="00CB7FBE" w:rsidP="00CB7FBE">
      <w:pPr>
        <w:ind w:firstLine="709"/>
        <w:jc w:val="center"/>
        <w:rPr>
          <w:rFonts w:asciiTheme="minorHAnsi" w:hAnsiTheme="minorHAnsi" w:cstheme="minorHAnsi"/>
          <w:b/>
          <w:noProof/>
          <w:sz w:val="22"/>
          <w:szCs w:val="22"/>
          <w:lang w:val="sr-Cyrl-CS"/>
        </w:rPr>
      </w:pPr>
    </w:p>
    <w:p w:rsidR="00CB7FBE" w:rsidRPr="002460E3" w:rsidRDefault="00C568FE" w:rsidP="00CB7FBE">
      <w:pPr>
        <w:ind w:firstLine="708"/>
        <w:jc w:val="both"/>
        <w:rPr>
          <w:bCs/>
          <w:noProof/>
          <w:sz w:val="22"/>
          <w:szCs w:val="22"/>
          <w:rFonts w:asciiTheme="minorHAnsi" w:hAnsiTheme="minorHAnsi" w:cstheme="minorHAnsi"/>
        </w:rPr>
      </w:pPr>
      <w:r>
        <w:rPr>
          <w:sz w:val="22"/>
          <w:szCs w:val="22"/>
          <w:rFonts w:asciiTheme="minorHAnsi" w:hAnsiTheme="minorHAnsi"/>
        </w:rPr>
        <w:t xml:space="preserve">În baza articolului 11 ,  12 , 23, alineatele</w:t>
      </w:r>
      <w:r>
        <w:rPr>
          <w:sz w:val="22"/>
          <w:szCs w:val="22"/>
          <w:rFonts w:asciiTheme="minorHAnsi" w:hAnsiTheme="minorHAnsi"/>
        </w:rPr>
        <w:t xml:space="preserve"> </w:t>
      </w:r>
      <w:r>
        <w:rPr>
          <w:sz w:val="22"/>
          <w:szCs w:val="22"/>
          <w:rFonts w:asciiTheme="minorHAnsi" w:hAnsiTheme="minorHAnsi"/>
        </w:rPr>
        <w:t xml:space="preserve">4, 25 şi 26</w:t>
      </w:r>
      <w:r>
        <w:rPr>
          <w:sz w:val="22"/>
          <w:szCs w:val="22"/>
          <w:rFonts w:asciiTheme="minorHAnsi" w:hAnsiTheme="minorHAnsi"/>
        </w:rPr>
        <w:t xml:space="preserve"> </w:t>
      </w:r>
      <w:r>
        <w:rPr>
          <w:sz w:val="22"/>
          <w:szCs w:val="22"/>
          <w:rFonts w:asciiTheme="minorHAnsi" w:hAnsiTheme="minorHAnsi"/>
        </w:rPr>
        <w:t xml:space="preserve">din Hotărârea Adunării Provinciei privind bugetul Provinciei Autonome Voivodina pentru anul 2024 („Buletinul oficial al P.A.V.”, nr. 45/2023 şi 7/2024–reechilibrare) şi articolului 7</w:t>
      </w:r>
      <w:r>
        <w:rPr>
          <w:sz w:val="22"/>
          <w:szCs w:val="22"/>
          <w:bCs/>
          <w:rFonts w:asciiTheme="minorHAnsi" w:hAnsiTheme="minorHAnsi"/>
        </w:rPr>
        <w:t xml:space="preserve"> </w:t>
      </w:r>
      <w:r>
        <w:rPr>
          <w:sz w:val="22"/>
          <w:szCs w:val="22"/>
          <w:bCs/>
          <w:rFonts w:asciiTheme="minorHAnsi" w:hAnsiTheme="minorHAnsi"/>
        </w:rPr>
        <w:t xml:space="preserve">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000236270 2025 09427 005 001 084 010 04 008.</w:t>
      </w:r>
      <w:r>
        <w:rPr>
          <w:sz w:val="22"/>
          <w:szCs w:val="22"/>
          <w:bCs/>
          <w:rFonts w:asciiTheme="minorHAnsi" w:hAnsiTheme="minorHAnsi"/>
        </w:rPr>
        <w:t xml:space="preserve"> </w:t>
      </w:r>
      <w:r>
        <w:rPr>
          <w:sz w:val="22"/>
          <w:szCs w:val="22"/>
          <w:bCs/>
          <w:rFonts w:asciiTheme="minorHAnsi" w:hAnsiTheme="minorHAnsi"/>
        </w:rPr>
        <w:t xml:space="preserve">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r>
        <w:rPr>
          <w:sz w:val="22"/>
          <w:szCs w:val="22"/>
          <w:bCs/>
          <w:rFonts w:asciiTheme="minorHAnsi" w:hAnsiTheme="minorHAnsi"/>
        </w:rPr>
        <w:t xml:space="preserve"> </w:t>
      </w:r>
    </w:p>
    <w:p w:rsidR="00CB7FBE" w:rsidRPr="002460E3" w:rsidRDefault="00CB7FBE" w:rsidP="00CB7FBE">
      <w:pPr>
        <w:ind w:firstLine="708"/>
        <w:jc w:val="both"/>
        <w:rPr>
          <w:bCs/>
          <w:noProof/>
          <w:sz w:val="22"/>
          <w:szCs w:val="22"/>
          <w:rFonts w:asciiTheme="minorHAnsi" w:hAnsiTheme="minorHAnsi" w:cstheme="minorHAnsi"/>
        </w:rPr>
      </w:pPr>
      <w:r>
        <w:rPr>
          <w:bCs/>
          <w:sz w:val="22"/>
          <w:szCs w:val="22"/>
          <w:rFonts w:asciiTheme="minorHAnsi" w:hAnsiTheme="minorHAnsi"/>
        </w:rP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2460E3" w:rsidRDefault="00CB7FBE" w:rsidP="00CB7FBE">
      <w:pPr>
        <w:ind w:firstLine="708"/>
        <w:jc w:val="both"/>
        <w:rPr>
          <w:noProof/>
          <w:sz w:val="22"/>
          <w:szCs w:val="22"/>
          <w:rFonts w:asciiTheme="minorHAnsi" w:hAnsiTheme="minorHAnsi" w:cstheme="minorHAnsi"/>
        </w:rPr>
      </w:pPr>
      <w:r>
        <w:rPr>
          <w:sz w:val="22"/>
          <w:szCs w:val="22"/>
          <w:rFonts w:asciiTheme="minorHAnsi" w:hAnsiTheme="minorHAnsi"/>
        </w:rPr>
        <w:t xml:space="preserve">Mijloacele menţionate se asigură în bugetul P.A. Voivodina şi se ţin în partea specială a bugetului organului provincial al administraţiei competent pentru domeniul minorităţilor naţionale - comunităţilor naţionale.</w:t>
      </w:r>
    </w:p>
    <w:p w:rsidR="00CB7FBE" w:rsidRPr="002460E3" w:rsidRDefault="00CB7FBE" w:rsidP="00CB7FBE">
      <w:pPr>
        <w:ind w:firstLine="708"/>
        <w:jc w:val="both"/>
        <w:rPr>
          <w:noProof/>
          <w:sz w:val="22"/>
          <w:szCs w:val="22"/>
          <w:rFonts w:asciiTheme="minorHAnsi" w:hAnsiTheme="minorHAnsi" w:cstheme="minorHAnsi"/>
        </w:rPr>
      </w:pPr>
      <w:r>
        <w:rPr>
          <w:sz w:val="22"/>
          <w:szCs w:val="22"/>
          <w:rFonts w:asciiTheme="minorHAnsi" w:hAnsiTheme="minorHAnsi"/>
        </w:rPr>
        <w:t xml:space="preserve">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2460E3" w:rsidRDefault="00CB7FBE" w:rsidP="00CB7FBE">
      <w:pPr>
        <w:ind w:firstLine="708"/>
        <w:jc w:val="both"/>
        <w:rPr>
          <w:noProof/>
          <w:sz w:val="22"/>
          <w:szCs w:val="22"/>
          <w:rFonts w:asciiTheme="minorHAnsi" w:hAnsiTheme="minorHAnsi" w:cstheme="minorHAnsi"/>
        </w:rPr>
      </w:pPr>
      <w:r>
        <w:rPr>
          <w:sz w:val="22"/>
          <w:szCs w:val="22"/>
          <w:rFonts w:asciiTheme="minorHAnsi" w:hAnsiTheme="minorHAnsi"/>
        </w:rPr>
        <w:t xml:space="preserve">Prin articolul 15</w:t>
      </w:r>
      <w:r>
        <w:rPr>
          <w:sz w:val="22"/>
          <w:szCs w:val="22"/>
          <w:rFonts w:asciiTheme="minorHAnsi" w:hAnsiTheme="minorHAnsi"/>
        </w:rPr>
        <w:t xml:space="preserve"> </w:t>
      </w:r>
      <w:r>
        <w:rPr>
          <w:sz w:val="22"/>
          <w:szCs w:val="22"/>
          <w:rFonts w:asciiTheme="minorHAnsi" w:hAnsiTheme="minorHAnsi"/>
        </w:rPr>
        <w:t xml:space="preserve">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sz w:val="22"/>
          <w:szCs w:val="22"/>
          <w:rFonts w:asciiTheme="minorHAnsi" w:hAnsiTheme="minorHAnsi"/>
        </w:rPr>
        <w:t xml:space="preserve"> </w:t>
      </w:r>
      <w:r>
        <w:rPr>
          <w:sz w:val="22"/>
          <w:szCs w:val="22"/>
          <w:rFonts w:asciiTheme="minorHAnsi" w:hAnsiTheme="minorHAnsi"/>
        </w:rPr>
        <w:t xml:space="preserve">În conformitate cu art.</w:t>
      </w:r>
      <w:r>
        <w:rPr>
          <w:sz w:val="22"/>
          <w:szCs w:val="22"/>
          <w:rFonts w:asciiTheme="minorHAnsi" w:hAnsiTheme="minorHAnsi"/>
        </w:rPr>
        <w:t xml:space="preserve"> </w:t>
      </w:r>
      <w:r>
        <w:rPr>
          <w:sz w:val="22"/>
          <w:szCs w:val="22"/>
          <w:rFonts w:asciiTheme="minorHAnsi" w:hAnsiTheme="minorHAnsi"/>
        </w:rPr>
        <w:t xml:space="preserve">24 alineatul 2, secretarul provincial reprezintă Secretariatul Provincial,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w:t>
      </w:r>
      <w:r>
        <w:rPr>
          <w:sz w:val="22"/>
          <w:szCs w:val="22"/>
          <w:rFonts w:asciiTheme="minorHAnsi" w:hAnsiTheme="minorHAnsi"/>
        </w:rPr>
        <w:t xml:space="preserve"> </w:t>
      </w:r>
      <w:r>
        <w:rPr>
          <w:sz w:val="22"/>
          <w:szCs w:val="22"/>
          <w:rFonts w:asciiTheme="minorHAnsi" w:hAnsiTheme="minorHAnsi"/>
        </w:rPr>
        <w:t xml:space="preserve">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w:t>
      </w:r>
      <w:r>
        <w:rPr>
          <w:sz w:val="22"/>
          <w:szCs w:val="22"/>
          <w:rFonts w:asciiTheme="minorHAnsi" w:hAnsiTheme="minorHAnsi"/>
        </w:rPr>
        <w:t xml:space="preserve"> </w:t>
      </w:r>
      <w:r>
        <w:rPr>
          <w:sz w:val="22"/>
          <w:szCs w:val="22"/>
          <w:rFonts w:asciiTheme="minorHAnsi" w:hAnsiTheme="minorHAnsi"/>
        </w:rPr>
        <w:t xml:space="preserve">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2460E3" w:rsidRDefault="00CB7FBE" w:rsidP="00CB7FBE">
      <w:pPr>
        <w:ind w:firstLine="708"/>
        <w:jc w:val="both"/>
        <w:rPr>
          <w:bCs/>
          <w:noProof/>
          <w:sz w:val="22"/>
          <w:szCs w:val="22"/>
          <w:rFonts w:asciiTheme="minorHAnsi" w:hAnsiTheme="minorHAnsi" w:cstheme="minorHAnsi"/>
        </w:rPr>
      </w:pPr>
      <w:r>
        <w:rPr>
          <w:bCs/>
          <w:sz w:val="22"/>
          <w:szCs w:val="22"/>
          <w:rFonts w:asciiTheme="minorHAnsi" w:hAnsiTheme="minorHAnsi"/>
        </w:rPr>
        <w:t xml:space="preserve">Comisia de concurs pentru desfăşurarea procedurii de repartizare a mijloacelor bugetare în baza Concursului public pentru cofinanţarea subproiectului „Multiculturalismul pe clic”, este înfiinţată prin decizia nr. 000236270 2025 09427 005 001 084 010 04 008 din 29 ianuarie 2025</w:t>
      </w:r>
      <w:r>
        <w:rPr>
          <w:bCs/>
          <w:sz w:val="22"/>
          <w:szCs w:val="22"/>
          <w:rFonts w:asciiTheme="minorHAnsi" w:hAnsiTheme="minorHAnsi"/>
        </w:rPr>
        <w:t xml:space="preserve"> </w:t>
      </w:r>
      <w:r>
        <w:rPr>
          <w:bCs/>
          <w:sz w:val="22"/>
          <w:szCs w:val="22"/>
          <w:rFonts w:asciiTheme="minorHAnsi" w:hAnsiTheme="minorHAnsi"/>
        </w:rPr>
        <w:t xml:space="preserve">Comisia s-a întrunit pe data de 24.03.2025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24.03.2025.</w:t>
      </w:r>
      <w:r>
        <w:rPr>
          <w:bCs/>
          <w:sz w:val="22"/>
          <w:szCs w:val="22"/>
          <w:rFonts w:asciiTheme="minorHAnsi" w:hAnsiTheme="minorHAnsi"/>
        </w:rPr>
        <w:t xml:space="preserve"> </w:t>
      </w:r>
      <w:r>
        <w:rPr>
          <w:bCs/>
          <w:sz w:val="22"/>
          <w:szCs w:val="22"/>
          <w:rFonts w:asciiTheme="minorHAnsi" w:hAnsiTheme="minorHAnsi"/>
        </w:rPr>
        <w:t xml:space="preserve">Participanții la concurs au avut drept la recurs împotriva evaluării și clasificării programelor/proiectelor anunţate, în termen de 8 zile de la data publicării acesteia.</w:t>
      </w:r>
      <w:r>
        <w:rPr>
          <w:bCs/>
          <w:sz w:val="22"/>
          <w:szCs w:val="22"/>
          <w:rFonts w:asciiTheme="minorHAnsi" w:hAnsiTheme="minorHAnsi"/>
        </w:rPr>
        <w:t xml:space="preserve"> </w:t>
      </w:r>
      <w:r>
        <w:rPr>
          <w:bCs/>
          <w:sz w:val="22"/>
          <w:szCs w:val="22"/>
          <w:rFonts w:asciiTheme="minorHAnsi" w:hAnsiTheme="minorHAnsi"/>
        </w:rPr>
        <w:t xml:space="preserve">În urma expirării termenului de prezentare a contestației,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2460E3" w:rsidRDefault="00CB7FBE" w:rsidP="00CB7FBE">
      <w:pPr>
        <w:ind w:right="-46" w:firstLine="540"/>
        <w:jc w:val="both"/>
        <w:rPr>
          <w:bCs/>
          <w:noProof/>
          <w:sz w:val="22"/>
          <w:szCs w:val="22"/>
          <w:rFonts w:asciiTheme="minorHAnsi" w:hAnsiTheme="minorHAnsi" w:cstheme="minorHAnsi"/>
        </w:rPr>
      </w:pPr>
      <w:r>
        <w:rPr>
          <w:sz w:val="22"/>
          <w:szCs w:val="22"/>
          <w:rFonts w:asciiTheme="minorHAnsi" w:hAnsiTheme="minorHAnsi"/>
        </w:rPr>
        <w:t xml:space="preserve">Secretarul provincial a emis pe data de 07.04.2025 decizia privind repartizarea mijloacelor bugetare conform Concursului public pentru cofinanţarea subproiectului "Multiculturalismul pe clic”, prin care în baza Concursului public pentru cofinanţarea subproiectului "Multiculturalismul pe clic”, mijloacele în cuantum de 800.000,00 dinari se acordă </w:t>
      </w:r>
      <w:r>
        <w:rPr>
          <w:sz w:val="22"/>
          <w:szCs w:val="22"/>
          <w:b/>
          <w:rFonts w:asciiTheme="minorHAnsi" w:hAnsiTheme="minorHAnsi"/>
        </w:rPr>
        <w:t xml:space="preserve">Forumului pentru educație, cooperare, afirmare și sprijin societăţii civice - FESAP din Novi Sad.</w:t>
      </w:r>
      <w:r>
        <w:rPr>
          <w:sz w:val="22"/>
          <w:szCs w:val="22"/>
          <w:rFonts w:asciiTheme="minorHAnsi" w:hAnsiTheme="minorHAnsi"/>
        </w:rPr>
        <w:t xml:space="preserve"> </w:t>
      </w:r>
      <w:r>
        <w:rPr>
          <w:sz w:val="22"/>
          <w:szCs w:val="22"/>
          <w:rFonts w:asciiTheme="minorHAnsi" w:hAnsiTheme="minorHAnsi"/>
        </w:rPr>
        <w:t xml:space="preserve">În baza articolul 11 alineatul 3</w:t>
      </w:r>
      <w:r>
        <w:rPr>
          <w:sz w:val="22"/>
          <w:szCs w:val="22"/>
          <w:rFonts w:asciiTheme="minorHAnsi" w:hAnsiTheme="minorHAnsi"/>
        </w:rPr>
        <w:t xml:space="preserve"> </w:t>
      </w:r>
      <w:r>
        <w:rPr>
          <w:sz w:val="22"/>
          <w:szCs w:val="22"/>
          <w:rFonts w:asciiTheme="minorHAnsi" w:hAnsiTheme="minorHAnsi"/>
        </w:rPr>
        <w:t xml:space="preserve">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w:t>
      </w:r>
      <w:r>
        <w:rPr>
          <w:sz w:val="22"/>
          <w:szCs w:val="22"/>
          <w:rFonts w:asciiTheme="minorHAnsi" w:hAnsiTheme="minorHAnsi"/>
        </w:rPr>
        <w:t xml:space="preserve"> </w:t>
      </w:r>
      <w:r>
        <w:rPr>
          <w:sz w:val="22"/>
          <w:szCs w:val="22"/>
          <w:rFonts w:asciiTheme="minorHAnsi" w:hAnsiTheme="minorHAnsi"/>
        </w:rPr>
        <w:t xml:space="preserve">Secretariatul şi FESAP pa data de 07.04.2025 au încheiat contractul privind repartizarea mijloacelor numărul 000533896 2025 09427 005 001 000 001.</w:t>
      </w:r>
      <w:r>
        <w:rPr>
          <w:sz w:val="22"/>
          <w:szCs w:val="22"/>
          <w:rFonts w:asciiTheme="minorHAnsi" w:hAnsiTheme="minorHAnsi"/>
        </w:rPr>
        <w:t xml:space="preserve"> </w:t>
      </w:r>
      <w:r>
        <w:rPr>
          <w:sz w:val="22"/>
          <w:szCs w:val="22"/>
          <w:rFonts w:asciiTheme="minorHAnsi" w:hAnsiTheme="minorHAnsi"/>
        </w:rPr>
        <w:t xml:space="preserve">În baza dispoziţiilor Concursului public, a deciziei menționate și a contractului de repartizare a mijloacelor, la data de 23.05.2025, FESAP a publicat Concurs pentru alegerea lucrării de artă plastică pe tema „Frumusețea multiculturalismului”, la care cererile puteau să fie prezentate până la 06.06.2025.</w:t>
      </w:r>
      <w:r>
        <w:rPr>
          <w:sz w:val="22"/>
          <w:szCs w:val="22"/>
          <w:rFonts w:asciiTheme="minorHAnsi" w:hAnsiTheme="minorHAnsi"/>
        </w:rPr>
        <w:t xml:space="preserve"> </w:t>
      </w:r>
      <w:r>
        <w:rPr>
          <w:sz w:val="22"/>
          <w:szCs w:val="22"/>
          <w:rFonts w:asciiTheme="minorHAnsi" w:hAnsiTheme="minorHAnsi"/>
        </w:rPr>
        <w:t xml:space="preserve">După expirarea termenului de prezentare a cererilor, 13.06.</w:t>
      </w:r>
      <w:r>
        <w:rPr>
          <w:sz w:val="22"/>
          <w:szCs w:val="22"/>
          <w:bCs/>
          <w:rFonts w:asciiTheme="minorHAnsi" w:hAnsiTheme="minorHAnsi"/>
        </w:rPr>
        <w:t xml:space="preserve">2025, a avut loc ședința comisiei de concurs pentru evaluarea, punctajul și clasamentul cererilor prezentate la Concursul menţionat, iar prin Procesul-verbal numărul 16/2025 din 13.06.2025 care a stabilit propunerea pentru adoptarea deciziei  </w:t>
      </w:r>
      <w:r>
        <w:rPr>
          <w:sz w:val="22"/>
          <w:szCs w:val="22"/>
          <w:rFonts w:asciiTheme="minorHAnsi" w:hAnsiTheme="minorHAnsi"/>
        </w:rPr>
        <w:t xml:space="preserve">privind alegerea lucrării fotografice </w:t>
      </w:r>
      <w:r>
        <w:rPr>
          <w:sz w:val="22"/>
          <w:szCs w:val="22"/>
          <w:bCs/>
          <w:rFonts w:asciiTheme="minorHAnsi" w:hAnsiTheme="minorHAnsi"/>
        </w:rPr>
        <w:t xml:space="preserve">pe tema „Frumusețea multiculturalismului”.</w:t>
      </w:r>
    </w:p>
    <w:p w:rsidR="00CB7FBE" w:rsidRPr="002460E3" w:rsidRDefault="00CB7FBE" w:rsidP="00CB7FBE">
      <w:pPr>
        <w:ind w:right="-46" w:firstLine="540"/>
        <w:jc w:val="both"/>
        <w:rPr>
          <w:bCs/>
          <w:noProof/>
          <w:sz w:val="22"/>
          <w:szCs w:val="22"/>
          <w:rFonts w:asciiTheme="minorHAnsi" w:hAnsiTheme="minorHAnsi" w:cstheme="minorHAnsi"/>
        </w:rPr>
      </w:pPr>
      <w:r>
        <w:rPr>
          <w:bCs/>
          <w:sz w:val="22"/>
          <w:szCs w:val="22"/>
          <w:rFonts w:asciiTheme="minorHAnsi" w:hAnsiTheme="minorHAnsi"/>
        </w:rPr>
        <w:t xml:space="preserve">În conformitate cu cele menţionate, preşedinta Consiliului de administrație al FESAP, a acceptat în întregime proiectul deciziei cu lista lucrărilor premiate și a emis decizia ca în dispozitiv.</w:t>
      </w:r>
    </w:p>
    <w:p w:rsidR="00CB7FBE" w:rsidRPr="002460E3" w:rsidRDefault="002460E3" w:rsidP="00CB7FBE">
      <w:pPr>
        <w:ind w:right="-46" w:firstLine="540"/>
        <w:jc w:val="both"/>
        <w:rPr>
          <w:bCs/>
          <w:noProof/>
          <w:sz w:val="22"/>
          <w:szCs w:val="22"/>
          <w:rFonts w:asciiTheme="minorHAnsi" w:hAnsiTheme="minorHAnsi" w:cstheme="minorHAnsi"/>
        </w:rPr>
      </w:pPr>
      <w:r>
        <w:rPr>
          <w:bCs/>
          <w:sz w:val="22"/>
          <w:szCs w:val="22"/>
          <w:rFonts w:asciiTheme="minorHAnsi" w:hAnsiTheme="minorHAnsi"/>
        </w:rPr>
        <w:t xml:space="preserve">Decizia se publică pe pagina de internet a FESAP și se remite Secretariatului spre publicare pe pagina de internet a Secretariatului.</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szCs w:val="22"/>
          <w:rFonts w:asciiTheme="minorHAnsi" w:hAnsiTheme="minorHAnsi" w:cstheme="minorHAnsi"/>
        </w:rPr>
      </w:pPr>
      <w:r>
        <w:rPr>
          <w:szCs w:val="22"/>
          <w:rFonts w:asciiTheme="minorHAnsi" w:hAnsiTheme="minorHAnsi"/>
        </w:rPr>
        <w:t xml:space="preserve">Decizia se trimite:</w:t>
      </w:r>
    </w:p>
    <w:p w:rsidR="00CB7FBE" w:rsidRPr="002460E3" w:rsidRDefault="00CB7FBE" w:rsidP="00CB7FBE">
      <w:pPr>
        <w:numPr>
          <w:ilvl w:val="0"/>
          <w:numId w:val="1"/>
        </w:numPr>
        <w:jc w:val="both"/>
        <w:rPr>
          <w:sz w:val="22"/>
          <w:szCs w:val="22"/>
          <w:rFonts w:asciiTheme="minorHAnsi" w:hAnsiTheme="minorHAnsi" w:cstheme="minorHAnsi"/>
        </w:rPr>
      </w:pPr>
      <w:r>
        <w:rPr>
          <w:sz w:val="22"/>
          <w:szCs w:val="22"/>
          <w:rFonts w:asciiTheme="minorHAnsi" w:hAnsiTheme="minorHAnsi"/>
        </w:rPr>
        <w:t xml:space="preserve">Secretariatului;</w:t>
      </w:r>
    </w:p>
    <w:p w:rsidR="00CB7FBE" w:rsidRPr="002460E3" w:rsidRDefault="00CB7FBE" w:rsidP="00CB7FBE">
      <w:pPr>
        <w:numPr>
          <w:ilvl w:val="0"/>
          <w:numId w:val="1"/>
        </w:numPr>
        <w:jc w:val="both"/>
        <w:rPr>
          <w:sz w:val="22"/>
          <w:szCs w:val="22"/>
          <w:rFonts w:asciiTheme="minorHAnsi" w:hAnsiTheme="minorHAnsi" w:cstheme="minorHAnsi"/>
        </w:rPr>
      </w:pPr>
      <w:r>
        <w:rPr>
          <w:sz w:val="22"/>
          <w:szCs w:val="22"/>
          <w:rFonts w:asciiTheme="minorHAnsi" w:hAnsiTheme="minorHAnsi"/>
        </w:rPr>
        <w:t xml:space="preserve">Arhivei.</w:t>
      </w:r>
    </w:p>
    <w:p w:rsidR="00CB7FBE" w:rsidRPr="002460E3" w:rsidRDefault="00CB7FBE" w:rsidP="00CB7FBE">
      <w:pPr>
        <w:ind w:left="720"/>
        <w:jc w:val="both"/>
        <w:rPr>
          <w:rFonts w:asciiTheme="minorHAnsi" w:hAnsiTheme="minorHAnsi" w:cstheme="minorHAnsi"/>
          <w:sz w:val="22"/>
          <w:szCs w:val="22"/>
          <w:lang w:val="sr-Cyrl-CS"/>
        </w:rPr>
      </w:pPr>
    </w:p>
    <w:p w:rsidR="00CB7FBE" w:rsidRPr="002460E3" w:rsidRDefault="00CB7FBE" w:rsidP="00CB7FBE">
      <w:pPr>
        <w:ind w:firstLine="720"/>
        <w:jc w:val="center"/>
        <w:rPr>
          <w:sz w:val="22"/>
          <w:szCs w:val="22"/>
          <w:rFonts w:asciiTheme="minorHAnsi" w:hAnsiTheme="minorHAnsi" w:cstheme="minorHAnsi"/>
        </w:rPr>
      </w:pPr>
      <w:r>
        <w:rPr>
          <w:sz w:val="22"/>
          <w:szCs w:val="22"/>
          <w:rFonts w:asciiTheme="minorHAnsi" w:hAnsiTheme="minorHAnsi"/>
        </w:rPr>
        <w:t xml:space="preserve">                                             </w:t>
      </w:r>
    </w:p>
    <w:p w:rsidR="00CB7FBE" w:rsidRPr="002460E3" w:rsidRDefault="00CB7FBE" w:rsidP="00CB7FBE">
      <w:pPr>
        <w:pStyle w:val="BodyTextIndent"/>
        <w:spacing w:after="0"/>
        <w:ind w:left="3883" w:firstLine="437"/>
        <w:jc w:val="center"/>
        <w:rPr>
          <w:szCs w:val="22"/>
          <w:rFonts w:asciiTheme="minorHAnsi" w:hAnsiTheme="minorHAnsi" w:cstheme="minorHAnsi"/>
        </w:rPr>
      </w:pPr>
      <w:r>
        <w:rPr>
          <w:szCs w:val="22"/>
          <w:rFonts w:asciiTheme="minorHAnsi" w:hAnsiTheme="minorHAnsi"/>
        </w:rPr>
        <w:t xml:space="preserve">dr. Ida Kabok</w:t>
      </w:r>
    </w:p>
    <w:p w:rsidR="00CD5BC8" w:rsidRPr="00F3173A" w:rsidRDefault="00CB7FBE" w:rsidP="00F3173A">
      <w:pPr>
        <w:pStyle w:val="BodyTextIndent"/>
        <w:spacing w:after="0"/>
        <w:ind w:left="3446" w:firstLine="437"/>
        <w:jc w:val="center"/>
        <w:rPr>
          <w:szCs w:val="22"/>
          <w:rFonts w:asciiTheme="minorHAnsi" w:hAnsiTheme="minorHAnsi" w:cstheme="minorHAnsi"/>
        </w:rPr>
      </w:pPr>
      <w:r>
        <w:rPr>
          <w:szCs w:val="22"/>
          <w:rFonts w:asciiTheme="minorHAnsi" w:hAnsiTheme="minorHAnsi"/>
        </w:rPr>
        <w:t xml:space="preserve">Preşedinta Consiliului de administraţie FESAP</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565C"/>
    <w:rsid w:val="001964F7"/>
    <w:rsid w:val="00203F7F"/>
    <w:rsid w:val="002460E3"/>
    <w:rsid w:val="00281126"/>
    <w:rsid w:val="00290D30"/>
    <w:rsid w:val="002B66CD"/>
    <w:rsid w:val="002E6867"/>
    <w:rsid w:val="00372CC2"/>
    <w:rsid w:val="003D02BC"/>
    <w:rsid w:val="004A39F7"/>
    <w:rsid w:val="00547048"/>
    <w:rsid w:val="00592C69"/>
    <w:rsid w:val="005956BB"/>
    <w:rsid w:val="005E5797"/>
    <w:rsid w:val="006239C3"/>
    <w:rsid w:val="00633F9E"/>
    <w:rsid w:val="0063606C"/>
    <w:rsid w:val="00656068"/>
    <w:rsid w:val="006A3319"/>
    <w:rsid w:val="006E332C"/>
    <w:rsid w:val="006F0B38"/>
    <w:rsid w:val="007250D0"/>
    <w:rsid w:val="00770E47"/>
    <w:rsid w:val="00791B6E"/>
    <w:rsid w:val="007A474B"/>
    <w:rsid w:val="007B139C"/>
    <w:rsid w:val="007B1B3A"/>
    <w:rsid w:val="007B33BD"/>
    <w:rsid w:val="00805A52"/>
    <w:rsid w:val="0086314D"/>
    <w:rsid w:val="008A5CBE"/>
    <w:rsid w:val="008D753B"/>
    <w:rsid w:val="00942C48"/>
    <w:rsid w:val="009641A7"/>
    <w:rsid w:val="009D255F"/>
    <w:rsid w:val="009E7BBF"/>
    <w:rsid w:val="00A26E5D"/>
    <w:rsid w:val="00A72854"/>
    <w:rsid w:val="00A95202"/>
    <w:rsid w:val="00A95410"/>
    <w:rsid w:val="00B046AA"/>
    <w:rsid w:val="00B2337E"/>
    <w:rsid w:val="00B57B7A"/>
    <w:rsid w:val="00BA2783"/>
    <w:rsid w:val="00C01876"/>
    <w:rsid w:val="00C074D3"/>
    <w:rsid w:val="00C34342"/>
    <w:rsid w:val="00C568FE"/>
    <w:rsid w:val="00C979A3"/>
    <w:rsid w:val="00CA546E"/>
    <w:rsid w:val="00CB7FBE"/>
    <w:rsid w:val="00CE55E6"/>
    <w:rsid w:val="00D026E7"/>
    <w:rsid w:val="00D060B8"/>
    <w:rsid w:val="00D32392"/>
    <w:rsid w:val="00E238E6"/>
    <w:rsid w:val="00E550FF"/>
    <w:rsid w:val="00EA632A"/>
    <w:rsid w:val="00ED4C58"/>
    <w:rsid w:val="00F134E4"/>
    <w:rsid w:val="00F3173A"/>
    <w:rsid w:val="00F67DE7"/>
    <w:rsid w:val="00F7212F"/>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76BE"/>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lang w:val="ro-RO"/>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5</cp:revision>
  <cp:lastPrinted>2025-05-22T12:40:00Z</cp:lastPrinted>
  <dcterms:created xsi:type="dcterms:W3CDTF">2025-06-13T09:18:00Z</dcterms:created>
  <dcterms:modified xsi:type="dcterms:W3CDTF">2025-06-13T10:27:00Z</dcterms:modified>
</cp:coreProperties>
</file>