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77777777" w:rsidR="009E6661" w:rsidRPr="0095311E" w:rsidRDefault="00077BF8" w:rsidP="008E6E7F">
      <w:pPr>
        <w:jc w:val="both"/>
        <w:rPr>
          <w:rFonts w:asciiTheme="minorHAnsi" w:eastAsia="Times New Roman" w:hAnsiTheme="minorHAnsi" w:cstheme="minorHAnsi"/>
        </w:rPr>
      </w:pPr>
      <w:r w:rsidRPr="0095311E">
        <w:rPr>
          <w:rFonts w:asciiTheme="minorHAnsi" w:hAnsiTheme="minorHAnsi" w:cstheme="minorHAnsi"/>
        </w:rPr>
        <w:t>Podľa článku 10 Pokrajinského parlamentného uznesenia o prideľovaní rozpočtových prostriedkov na financovanie a spolufinancovanie programových aktivít a projektov v oblasti základného a stredného vzdelávania a výchovy a žiackeho štandardu v Autonómnej pokrajine Vojvodine (Úradný vestník APV č. 14/15 a 10/17) a čl. 15, 16 a článku 24 odsek 2 Pokrajinského parlamentného uznesenia o pokrajinskej správe (Úradný vestník APV č. 37/14, 54/14 iné uznesenie 37/16, 29/2017, 24/2019, 66/2020 a 38/2021) pokrajinský tajomník vzdelávania, predpisov, správy a národnostných menšín – národnostných spoločenstiev vynáša</w:t>
      </w:r>
    </w:p>
    <w:p w14:paraId="4DB21F8A" w14:textId="77777777" w:rsidR="009E6661" w:rsidRPr="0095311E" w:rsidRDefault="009E6661" w:rsidP="008E6E7F">
      <w:pPr>
        <w:pStyle w:val="BodyText"/>
        <w:spacing w:before="10"/>
        <w:jc w:val="both"/>
        <w:rPr>
          <w:rFonts w:asciiTheme="minorHAnsi" w:hAnsiTheme="minorHAnsi" w:cstheme="minorHAnsi"/>
          <w:sz w:val="22"/>
          <w:szCs w:val="22"/>
        </w:rPr>
      </w:pPr>
    </w:p>
    <w:p w14:paraId="4570CAE6" w14:textId="77777777" w:rsidR="009E6661" w:rsidRPr="0095311E" w:rsidRDefault="00077BF8" w:rsidP="00935AB9">
      <w:pPr>
        <w:widowControl/>
        <w:autoSpaceDE/>
        <w:autoSpaceDN/>
        <w:jc w:val="center"/>
        <w:rPr>
          <w:rFonts w:asciiTheme="minorHAnsi" w:eastAsia="Times New Roman" w:hAnsiTheme="minorHAnsi" w:cstheme="minorHAnsi"/>
          <w:b/>
          <w:bCs/>
        </w:rPr>
      </w:pPr>
      <w:r w:rsidRPr="0095311E">
        <w:rPr>
          <w:rFonts w:asciiTheme="minorHAnsi" w:hAnsiTheme="minorHAnsi" w:cstheme="minorHAnsi"/>
          <w:b/>
          <w:bCs/>
        </w:rPr>
        <w:t>PRAVIDLÁ</w:t>
      </w:r>
    </w:p>
    <w:p w14:paraId="1324A443" w14:textId="0B1F0CB8" w:rsidR="009E6661" w:rsidRPr="0095311E" w:rsidRDefault="00077BF8" w:rsidP="00935AB9">
      <w:pPr>
        <w:widowControl/>
        <w:autoSpaceDE/>
        <w:autoSpaceDN/>
        <w:jc w:val="center"/>
        <w:rPr>
          <w:rFonts w:asciiTheme="minorHAnsi" w:eastAsia="Times New Roman" w:hAnsiTheme="minorHAnsi" w:cstheme="minorHAnsi"/>
          <w:b/>
          <w:bCs/>
        </w:rPr>
      </w:pPr>
      <w:r w:rsidRPr="0095311E">
        <w:rPr>
          <w:rFonts w:asciiTheme="minorHAnsi" w:hAnsiTheme="minorHAnsi" w:cstheme="minorHAnsi"/>
          <w:b/>
          <w:bCs/>
        </w:rPr>
        <w:t xml:space="preserve">О PRIDELENÍ ROZPOČTOVÝCH PROSTRIEDKOV POKRAJINSKÉHO SEKRETARIÁTU VZDELÁVANIA, PREDPISOV, SPRÁVY A NÁRODNOSTNÝCH MENŠÍN – NÁRODNOSTNÝCH SPOLOČENSTIEV NA FINANCOVANIE A SPOLUFINACOVANIE OBSTARANIA VYBAVENIA  PRE ZÁKLADNÉ ŠKOLY, KTORÉ MAJÚ STATUS VEREJNE UZNÁVANÝCH ORGANIZÁTOROV AKTIVÍT FORMÁLNEHO ZÁKLADNÉHO VZDELÁVANIA DOSPELÝCH NA ÚZEMÍ AUONÓMNEJ POKRAJINY VOJVODINY </w:t>
      </w:r>
    </w:p>
    <w:p w14:paraId="7FBE557C" w14:textId="77777777" w:rsidR="009E6661" w:rsidRPr="0095311E" w:rsidRDefault="009E6661">
      <w:pPr>
        <w:pStyle w:val="BodyText"/>
        <w:spacing w:before="7"/>
        <w:rPr>
          <w:rFonts w:asciiTheme="minorHAnsi" w:hAnsiTheme="minorHAnsi" w:cstheme="minorHAnsi"/>
          <w:b/>
          <w:sz w:val="22"/>
          <w:szCs w:val="22"/>
        </w:rPr>
      </w:pPr>
    </w:p>
    <w:p w14:paraId="276DD578" w14:textId="77777777" w:rsidR="0095311E" w:rsidRDefault="0095311E">
      <w:pPr>
        <w:pStyle w:val="BodyText"/>
        <w:ind w:left="216" w:right="196"/>
        <w:jc w:val="center"/>
        <w:rPr>
          <w:rFonts w:asciiTheme="minorHAnsi" w:hAnsiTheme="minorHAnsi" w:cstheme="minorHAnsi"/>
          <w:b/>
          <w:sz w:val="22"/>
          <w:szCs w:val="22"/>
        </w:rPr>
      </w:pPr>
    </w:p>
    <w:p w14:paraId="31ED68FD" w14:textId="6C5F8492" w:rsidR="00EE0144" w:rsidRPr="0095311E" w:rsidRDefault="00EE0144">
      <w:pPr>
        <w:pStyle w:val="BodyText"/>
        <w:ind w:left="216" w:right="196"/>
        <w:jc w:val="center"/>
        <w:rPr>
          <w:rFonts w:asciiTheme="minorHAnsi" w:eastAsia="Times New Roman" w:hAnsiTheme="minorHAnsi" w:cstheme="minorHAnsi"/>
          <w:b/>
          <w:sz w:val="22"/>
          <w:szCs w:val="22"/>
        </w:rPr>
      </w:pPr>
      <w:r w:rsidRPr="0095311E">
        <w:rPr>
          <w:rFonts w:asciiTheme="minorHAnsi" w:hAnsiTheme="minorHAnsi" w:cstheme="minorHAnsi"/>
          <w:b/>
          <w:sz w:val="22"/>
          <w:szCs w:val="22"/>
        </w:rPr>
        <w:t>Všeobecné ustanovenia</w:t>
      </w:r>
    </w:p>
    <w:p w14:paraId="43E26A43" w14:textId="3CD4271D" w:rsidR="009E6661" w:rsidRPr="0095311E" w:rsidRDefault="00077BF8">
      <w:pPr>
        <w:pStyle w:val="BodyText"/>
        <w:ind w:left="216" w:right="196"/>
        <w:jc w:val="center"/>
        <w:rPr>
          <w:rFonts w:asciiTheme="minorHAnsi" w:eastAsia="Times New Roman" w:hAnsiTheme="minorHAnsi" w:cstheme="minorHAnsi"/>
          <w:sz w:val="22"/>
          <w:szCs w:val="22"/>
        </w:rPr>
      </w:pPr>
      <w:r w:rsidRPr="0095311E">
        <w:rPr>
          <w:rFonts w:asciiTheme="minorHAnsi" w:hAnsiTheme="minorHAnsi" w:cstheme="minorHAnsi"/>
          <w:sz w:val="22"/>
          <w:szCs w:val="22"/>
        </w:rPr>
        <w:t>Článok 1</w:t>
      </w:r>
    </w:p>
    <w:p w14:paraId="60135BB0" w14:textId="77777777" w:rsidR="009E6661" w:rsidRPr="0095311E" w:rsidRDefault="009E6661">
      <w:pPr>
        <w:pStyle w:val="BodyText"/>
        <w:rPr>
          <w:rFonts w:asciiTheme="minorHAnsi" w:eastAsia="Times New Roman" w:hAnsiTheme="minorHAnsi" w:cstheme="minorHAnsi"/>
          <w:sz w:val="22"/>
          <w:szCs w:val="22"/>
        </w:rPr>
      </w:pPr>
    </w:p>
    <w:p w14:paraId="61B1567D" w14:textId="0EB95028" w:rsidR="009E6661" w:rsidRPr="0095311E" w:rsidRDefault="00077BF8">
      <w:pPr>
        <w:pStyle w:val="BodyText"/>
        <w:spacing w:line="232" w:lineRule="auto"/>
        <w:ind w:left="123" w:right="118" w:firstLine="406"/>
        <w:jc w:val="both"/>
        <w:rPr>
          <w:rFonts w:asciiTheme="minorHAnsi" w:eastAsia="Times New Roman" w:hAnsiTheme="minorHAnsi" w:cstheme="minorHAnsi"/>
          <w:sz w:val="22"/>
          <w:szCs w:val="22"/>
        </w:rPr>
      </w:pPr>
      <w:r w:rsidRPr="0095311E">
        <w:rPr>
          <w:rFonts w:asciiTheme="minorHAnsi" w:hAnsiTheme="minorHAnsi" w:cstheme="minorHAnsi"/>
          <w:sz w:val="22"/>
          <w:szCs w:val="22"/>
        </w:rPr>
        <w:t>Tieto pravidlá určujú spôsob, podmienky a kritériá prideľovania rozpočtových prostriedkov (ďalej len: prostriedky) na financovanie a spolufinancovanie obstarania vybavenia v základných školách, ktoré majú status verejne uznaných organizátorov aktivít formálneho základného vzdelávania dospelých na území Autómnej pokrajiny Vojvodiny (ďalej: AP Vojvodina) v súlade s apropriáciami schválenými uznesením o rozpočte Autonómnej pokrajiny Vojvodiny v rámci oddielu Pokrajinského sekretariátu vzdelávania, predpisov, správy, národnostných menšín – národnostných spoločenstiev (ďalej len: pokrajinský sekretariát).</w:t>
      </w:r>
    </w:p>
    <w:p w14:paraId="1076E079" w14:textId="3B8E4AA3" w:rsidR="007C6B91" w:rsidRPr="0095311E" w:rsidRDefault="007C6B91" w:rsidP="007C6B91">
      <w:pPr>
        <w:ind w:right="120" w:firstLine="529"/>
        <w:jc w:val="both"/>
        <w:rPr>
          <w:rFonts w:asciiTheme="minorHAnsi" w:eastAsia="Times New Roman" w:hAnsiTheme="minorHAnsi" w:cstheme="minorHAnsi"/>
        </w:rPr>
      </w:pPr>
      <w:r w:rsidRPr="0095311E">
        <w:rPr>
          <w:rFonts w:asciiTheme="minorHAnsi" w:hAnsiTheme="minorHAnsi" w:cstheme="minorHAnsi"/>
        </w:rPr>
        <w:t>Všetky pojmy použité v týchto pravidlách v mužskom gramatickom rode obsahujú mužský a ženský rod osoby, na ktorú sa vzťahujú.</w:t>
      </w:r>
    </w:p>
    <w:p w14:paraId="7B9ABDF7" w14:textId="2D9C8861" w:rsidR="0095311E" w:rsidRDefault="0095311E" w:rsidP="0095311E">
      <w:pPr>
        <w:pStyle w:val="BodyText"/>
        <w:spacing w:line="232" w:lineRule="auto"/>
        <w:ind w:right="118"/>
        <w:rPr>
          <w:rFonts w:asciiTheme="minorHAnsi" w:hAnsiTheme="minorHAnsi" w:cstheme="minorHAnsi"/>
          <w:b/>
          <w:sz w:val="22"/>
          <w:szCs w:val="22"/>
        </w:rPr>
      </w:pPr>
    </w:p>
    <w:p w14:paraId="18F3EA8F" w14:textId="3BA31CF5" w:rsidR="00EE0144" w:rsidRPr="0095311E" w:rsidRDefault="00FC54EA" w:rsidP="00FC54EA">
      <w:pPr>
        <w:pStyle w:val="BodyText"/>
        <w:spacing w:line="232" w:lineRule="auto"/>
        <w:ind w:left="123" w:right="118" w:firstLine="406"/>
        <w:jc w:val="center"/>
        <w:rPr>
          <w:rFonts w:asciiTheme="minorHAnsi" w:eastAsia="Times New Roman" w:hAnsiTheme="minorHAnsi" w:cstheme="minorHAnsi"/>
          <w:b/>
          <w:sz w:val="22"/>
          <w:szCs w:val="22"/>
        </w:rPr>
      </w:pPr>
      <w:r w:rsidRPr="0095311E">
        <w:rPr>
          <w:rFonts w:asciiTheme="minorHAnsi" w:hAnsiTheme="minorHAnsi" w:cstheme="minorHAnsi"/>
          <w:b/>
          <w:sz w:val="22"/>
          <w:szCs w:val="22"/>
        </w:rPr>
        <w:t>Výška a spôsob pridelenia prostriedkov</w:t>
      </w:r>
    </w:p>
    <w:p w14:paraId="54CF0EDF" w14:textId="3256F9FB" w:rsidR="00FC54EA" w:rsidRPr="0095311E" w:rsidRDefault="00FC54EA" w:rsidP="00FC54EA">
      <w:pPr>
        <w:pStyle w:val="BodyText"/>
        <w:spacing w:line="232" w:lineRule="auto"/>
        <w:ind w:left="123" w:right="118" w:firstLine="406"/>
        <w:jc w:val="center"/>
        <w:rPr>
          <w:rFonts w:asciiTheme="minorHAnsi" w:eastAsia="Times New Roman" w:hAnsiTheme="minorHAnsi" w:cstheme="minorHAnsi"/>
          <w:sz w:val="22"/>
          <w:szCs w:val="22"/>
        </w:rPr>
      </w:pPr>
      <w:r w:rsidRPr="0095311E">
        <w:rPr>
          <w:rFonts w:asciiTheme="minorHAnsi" w:hAnsiTheme="minorHAnsi" w:cstheme="minorHAnsi"/>
          <w:sz w:val="22"/>
          <w:szCs w:val="22"/>
        </w:rPr>
        <w:t>Článok 2</w:t>
      </w:r>
    </w:p>
    <w:p w14:paraId="4DC0CDD3" w14:textId="77777777" w:rsidR="00FC54EA" w:rsidRPr="0095311E" w:rsidRDefault="00FC54EA" w:rsidP="00FC54EA">
      <w:pPr>
        <w:pStyle w:val="BodyText"/>
        <w:spacing w:line="232" w:lineRule="auto"/>
        <w:ind w:left="123" w:right="118" w:firstLine="406"/>
        <w:jc w:val="center"/>
        <w:rPr>
          <w:rFonts w:asciiTheme="minorHAnsi" w:eastAsia="Times New Roman" w:hAnsiTheme="minorHAnsi" w:cstheme="minorHAnsi"/>
          <w:sz w:val="22"/>
          <w:szCs w:val="22"/>
        </w:rPr>
      </w:pPr>
    </w:p>
    <w:p w14:paraId="1D7B3170" w14:textId="2A9C3A21" w:rsidR="00FC54EA" w:rsidRPr="0095311E" w:rsidRDefault="00FC54EA" w:rsidP="00FC54EA">
      <w:pPr>
        <w:widowControl/>
        <w:tabs>
          <w:tab w:val="left" w:pos="0"/>
        </w:tabs>
        <w:autoSpaceDE/>
        <w:autoSpaceDN/>
        <w:ind w:firstLineChars="359" w:firstLine="790"/>
        <w:jc w:val="both"/>
        <w:rPr>
          <w:rFonts w:asciiTheme="minorHAnsi" w:eastAsia="Times New Roman" w:hAnsiTheme="minorHAnsi" w:cstheme="minorHAnsi"/>
        </w:rPr>
      </w:pPr>
      <w:r w:rsidRPr="0095311E">
        <w:rPr>
          <w:rFonts w:asciiTheme="minorHAnsi" w:hAnsiTheme="minorHAnsi" w:cstheme="minorHAnsi"/>
        </w:rPr>
        <w:t xml:space="preserve">Na realizáciu aktivít je naplánovaných 2 000 000,00 dinárov.  </w:t>
      </w:r>
    </w:p>
    <w:p w14:paraId="3F92E0F9" w14:textId="5D7F96C3" w:rsidR="00B028EF" w:rsidRPr="0095311E" w:rsidRDefault="00FC54EA" w:rsidP="00B028EF">
      <w:pPr>
        <w:ind w:firstLine="567"/>
        <w:jc w:val="both"/>
        <w:rPr>
          <w:rFonts w:asciiTheme="minorHAnsi" w:eastAsia="Times New Roman" w:hAnsiTheme="minorHAnsi" w:cstheme="minorHAnsi"/>
          <w:noProof/>
        </w:rPr>
      </w:pPr>
      <w:r w:rsidRPr="0095311E">
        <w:rPr>
          <w:rFonts w:asciiTheme="minorHAnsi" w:hAnsiTheme="minorHAnsi" w:cstheme="minorHAnsi"/>
        </w:rPr>
        <w:t>Finančné prostriedky uvedené v odseku 1 tohto článku sa prideľujú prostredníctvom súbehu uverejnenom v Úradnom vestníku Autonómnej pokrajiny Vojvodiny a na oficiálnej webovej stránke sekretariátu a prostredníctvom oznámenia o súbehu a adresy webového sídla, na ktorom je súbeh uverejnený, uverejňujú sa aspoň v jednom denníku, ktorý je distribuovaný na celom území Srbskej republiky.</w:t>
      </w:r>
    </w:p>
    <w:p w14:paraId="00CD90AB" w14:textId="58353F55" w:rsidR="00B028EF" w:rsidRPr="0095311E" w:rsidRDefault="00B028EF" w:rsidP="00B028EF">
      <w:pPr>
        <w:ind w:firstLine="567"/>
        <w:jc w:val="both"/>
        <w:rPr>
          <w:rFonts w:asciiTheme="minorHAnsi" w:hAnsiTheme="minorHAnsi" w:cstheme="minorHAnsi"/>
          <w:noProof/>
        </w:rPr>
      </w:pPr>
      <w:r w:rsidRPr="0095311E">
        <w:rPr>
          <w:rFonts w:asciiTheme="minorHAnsi" w:hAnsiTheme="minorHAnsi" w:cstheme="minorHAnsi"/>
        </w:rPr>
        <w:t xml:space="preserve">Súbeh alebo oznámenie o verejnom súbehu a adresa webového sídla, na ktorej je zverejnený súbeh, sa môžu zverejniť aj v jazykoch národnostných menšín – národnostných spoločenstiev, ktoré sa úradne používajú v práci orgánov Autonómnej pokrajiny Vojvodiny. </w:t>
      </w:r>
    </w:p>
    <w:p w14:paraId="61443E21" w14:textId="6715B579" w:rsidR="00FC54EA" w:rsidRPr="0095311E" w:rsidRDefault="00FC54EA" w:rsidP="00B028EF">
      <w:pPr>
        <w:pStyle w:val="BodyText"/>
        <w:spacing w:line="228" w:lineRule="auto"/>
        <w:ind w:left="113" w:right="118" w:firstLine="355"/>
        <w:jc w:val="both"/>
        <w:rPr>
          <w:rFonts w:asciiTheme="minorHAnsi" w:eastAsia="Times New Roman" w:hAnsiTheme="minorHAnsi" w:cstheme="minorHAnsi"/>
          <w:sz w:val="22"/>
          <w:szCs w:val="22"/>
        </w:rPr>
      </w:pPr>
      <w:r w:rsidRPr="0095311E">
        <w:rPr>
          <w:rFonts w:asciiTheme="minorHAnsi" w:hAnsiTheme="minorHAnsi" w:cstheme="minorHAnsi"/>
          <w:sz w:val="22"/>
          <w:szCs w:val="22"/>
        </w:rPr>
        <w:t>Súbeh obsahuje údaje o názve aktu, na základe ktorého sa vypisuje súbeh, výšku celkových prostriedkov určených na pridelenie v rámci súbehu, o tom, kto sa môže prihlásiť na súbeh a na aké účely, kritériá, podľa ktorých sa prihlášky na súbeh zoradia, spôsob a lehotu predkladania prihlášok na súbeh, ako aj inú dokumentáciu preukazujúcu splnenie požiadaviek a kritérií na prihlášku na súbeh.</w:t>
      </w:r>
    </w:p>
    <w:p w14:paraId="0D0F2A27" w14:textId="24844FAB" w:rsidR="00FC54EA" w:rsidRPr="0095311E" w:rsidRDefault="00FC54EA" w:rsidP="000360F1">
      <w:pPr>
        <w:widowControl/>
        <w:tabs>
          <w:tab w:val="left" w:pos="0"/>
        </w:tabs>
        <w:autoSpaceDE/>
        <w:autoSpaceDN/>
        <w:ind w:firstLineChars="359" w:firstLine="790"/>
        <w:jc w:val="both"/>
        <w:rPr>
          <w:rFonts w:asciiTheme="minorHAnsi" w:eastAsia="Times New Roman" w:hAnsiTheme="minorHAnsi" w:cstheme="minorHAnsi"/>
        </w:rPr>
      </w:pPr>
      <w:r w:rsidRPr="0095311E">
        <w:rPr>
          <w:rFonts w:asciiTheme="minorHAnsi" w:hAnsiTheme="minorHAnsi" w:cstheme="minorHAnsi"/>
        </w:rPr>
        <w:t xml:space="preserve">Dokumentácia podaná na súbeh sa nevracia. </w:t>
      </w:r>
    </w:p>
    <w:p w14:paraId="30FB6CAF" w14:textId="47CE2095" w:rsidR="00EB567D" w:rsidRPr="0095311E" w:rsidRDefault="00EB567D" w:rsidP="00EB567D">
      <w:pPr>
        <w:ind w:firstLine="465"/>
        <w:jc w:val="both"/>
        <w:rPr>
          <w:rFonts w:asciiTheme="minorHAnsi" w:hAnsiTheme="minorHAnsi" w:cstheme="minorHAnsi"/>
          <w:noProof/>
        </w:rPr>
      </w:pPr>
      <w:r w:rsidRPr="0095311E">
        <w:rPr>
          <w:rFonts w:asciiTheme="minorHAnsi" w:hAnsiTheme="minorHAnsi" w:cstheme="minorHAnsi"/>
        </w:rPr>
        <w:t>Sekretariát si vyhradzuje právo vyžiadať si od žiadateľa v prípade potreby doplňujúcu dokumentáciu a informácie a ak žiadateľ neodpovie na žiadosť o doplnenie dokumentácie do 8 dní, sekretariát bude považovať žiadosť za neúplnú.</w:t>
      </w:r>
    </w:p>
    <w:p w14:paraId="3354E1B3" w14:textId="33067EE7" w:rsidR="0095311E" w:rsidRPr="0095311E" w:rsidRDefault="0095311E" w:rsidP="000360F1">
      <w:pPr>
        <w:widowControl/>
        <w:tabs>
          <w:tab w:val="left" w:pos="0"/>
        </w:tabs>
        <w:autoSpaceDE/>
        <w:autoSpaceDN/>
        <w:ind w:firstLineChars="359" w:firstLine="790"/>
        <w:jc w:val="both"/>
        <w:rPr>
          <w:rFonts w:asciiTheme="minorHAnsi" w:eastAsia="Times New Roman" w:hAnsiTheme="minorHAnsi" w:cstheme="minorHAnsi"/>
        </w:rPr>
      </w:pPr>
    </w:p>
    <w:p w14:paraId="58DBFFC9" w14:textId="77777777" w:rsidR="0095311E" w:rsidRDefault="0095311E" w:rsidP="00EE0144">
      <w:pPr>
        <w:pStyle w:val="BodyText"/>
        <w:ind w:left="216" w:right="196"/>
        <w:jc w:val="center"/>
        <w:rPr>
          <w:rFonts w:asciiTheme="minorHAnsi" w:hAnsiTheme="minorHAnsi" w:cstheme="minorHAnsi"/>
          <w:b/>
          <w:sz w:val="22"/>
          <w:szCs w:val="22"/>
        </w:rPr>
      </w:pPr>
    </w:p>
    <w:p w14:paraId="5DCB3E51" w14:textId="6928AF5A" w:rsidR="00EE0144" w:rsidRPr="0095311E" w:rsidRDefault="00EE0144" w:rsidP="00EE0144">
      <w:pPr>
        <w:pStyle w:val="BodyText"/>
        <w:ind w:left="216" w:right="196"/>
        <w:jc w:val="center"/>
        <w:rPr>
          <w:rFonts w:asciiTheme="minorHAnsi" w:eastAsia="Times New Roman" w:hAnsiTheme="minorHAnsi" w:cstheme="minorHAnsi"/>
          <w:b/>
          <w:sz w:val="22"/>
          <w:szCs w:val="22"/>
        </w:rPr>
      </w:pPr>
      <w:r w:rsidRPr="0095311E">
        <w:rPr>
          <w:rFonts w:asciiTheme="minorHAnsi" w:hAnsiTheme="minorHAnsi" w:cstheme="minorHAnsi"/>
          <w:b/>
          <w:sz w:val="22"/>
          <w:szCs w:val="22"/>
        </w:rPr>
        <w:lastRenderedPageBreak/>
        <w:t>Právo na prideľovanie finančných prostriedkov</w:t>
      </w:r>
    </w:p>
    <w:p w14:paraId="59228A28" w14:textId="7653B81A" w:rsidR="00EE0144" w:rsidRPr="0095311E" w:rsidRDefault="00EE0144" w:rsidP="00EE0144">
      <w:pPr>
        <w:pStyle w:val="BodyText"/>
        <w:ind w:left="216" w:right="196"/>
        <w:jc w:val="center"/>
        <w:rPr>
          <w:rFonts w:asciiTheme="minorHAnsi" w:eastAsia="Times New Roman" w:hAnsiTheme="minorHAnsi" w:cstheme="minorHAnsi"/>
          <w:sz w:val="22"/>
          <w:szCs w:val="22"/>
        </w:rPr>
      </w:pPr>
      <w:r w:rsidRPr="0095311E">
        <w:rPr>
          <w:rFonts w:asciiTheme="minorHAnsi" w:hAnsiTheme="minorHAnsi" w:cstheme="minorHAnsi"/>
          <w:sz w:val="22"/>
          <w:szCs w:val="22"/>
        </w:rPr>
        <w:t>Článok 3</w:t>
      </w:r>
    </w:p>
    <w:p w14:paraId="1D1B0D7B" w14:textId="77777777" w:rsidR="00EE0144" w:rsidRPr="0095311E" w:rsidRDefault="00EE0144" w:rsidP="00EE0144">
      <w:pPr>
        <w:pStyle w:val="BodyText"/>
        <w:spacing w:before="9"/>
        <w:rPr>
          <w:rFonts w:asciiTheme="minorHAnsi" w:hAnsiTheme="minorHAnsi" w:cstheme="minorHAnsi"/>
          <w:sz w:val="22"/>
          <w:szCs w:val="22"/>
        </w:rPr>
      </w:pPr>
    </w:p>
    <w:p w14:paraId="31E0DF35" w14:textId="77777777" w:rsidR="00EE0144" w:rsidRPr="0095311E" w:rsidRDefault="00EE0144" w:rsidP="00EE0144">
      <w:pPr>
        <w:pStyle w:val="BodyText"/>
        <w:ind w:left="216" w:right="196" w:firstLine="358"/>
        <w:jc w:val="both"/>
        <w:rPr>
          <w:rFonts w:asciiTheme="minorHAnsi" w:eastAsia="Times New Roman" w:hAnsiTheme="minorHAnsi" w:cstheme="minorHAnsi"/>
          <w:sz w:val="22"/>
          <w:szCs w:val="22"/>
        </w:rPr>
      </w:pPr>
      <w:r w:rsidRPr="0095311E">
        <w:rPr>
          <w:rFonts w:asciiTheme="minorHAnsi" w:hAnsiTheme="minorHAnsi" w:cstheme="minorHAnsi"/>
          <w:sz w:val="22"/>
          <w:szCs w:val="22"/>
        </w:rPr>
        <w:t>Nárok na pridelenie finančných prostriedkov majú základné školy na území AP Vojvodiny, ktorých zakladateľom je Srbská republika, AP Vojvodina a jednotka lokálnej samosprávy a ktoré majú status verejne uznaných organizátorov aktivít formálneho základného vzdelávania pre dospelých, resp. majú rozhodnutie pokrajinského sekretariátu o splnení predpísaných podmienok na vykonávanie činnosti formálneho základného vzdelávania dospelých (v ďalšom texte: používatelia).</w:t>
      </w:r>
    </w:p>
    <w:p w14:paraId="4B88A0D7" w14:textId="18B6886D" w:rsidR="009E6661" w:rsidRPr="0095311E" w:rsidRDefault="009E6661" w:rsidP="0095311E">
      <w:pPr>
        <w:pStyle w:val="BodyText"/>
        <w:ind w:right="196"/>
        <w:rPr>
          <w:rFonts w:asciiTheme="minorHAnsi" w:eastAsia="Times New Roman" w:hAnsiTheme="minorHAnsi" w:cstheme="minorHAnsi"/>
          <w:sz w:val="22"/>
          <w:szCs w:val="22"/>
        </w:rPr>
      </w:pPr>
    </w:p>
    <w:p w14:paraId="1CE6008E" w14:textId="7633E603" w:rsidR="00EE0144" w:rsidRPr="0095311E" w:rsidRDefault="00EE0144" w:rsidP="00EE0144">
      <w:pPr>
        <w:pStyle w:val="BodyText"/>
        <w:spacing w:line="230" w:lineRule="auto"/>
        <w:ind w:left="113" w:right="118" w:firstLine="355"/>
        <w:jc w:val="center"/>
        <w:rPr>
          <w:rFonts w:asciiTheme="minorHAnsi" w:eastAsia="Times New Roman" w:hAnsiTheme="minorHAnsi" w:cstheme="minorHAnsi"/>
          <w:b/>
          <w:sz w:val="22"/>
          <w:szCs w:val="22"/>
        </w:rPr>
      </w:pPr>
      <w:r w:rsidRPr="0095311E">
        <w:rPr>
          <w:rFonts w:asciiTheme="minorHAnsi" w:hAnsiTheme="minorHAnsi" w:cstheme="minorHAnsi"/>
          <w:b/>
          <w:sz w:val="22"/>
          <w:szCs w:val="22"/>
        </w:rPr>
        <w:t>Prihlasovanie na súbeh</w:t>
      </w:r>
    </w:p>
    <w:p w14:paraId="400BF3BB" w14:textId="4DB381A2" w:rsidR="00EE0144" w:rsidRPr="0095311E" w:rsidRDefault="00EE0144" w:rsidP="00EE0144">
      <w:pPr>
        <w:pStyle w:val="BodyText"/>
        <w:spacing w:line="230" w:lineRule="auto"/>
        <w:ind w:left="113" w:right="118" w:firstLine="355"/>
        <w:jc w:val="center"/>
        <w:rPr>
          <w:rFonts w:asciiTheme="minorHAnsi" w:eastAsia="Times New Roman" w:hAnsiTheme="minorHAnsi" w:cstheme="minorHAnsi"/>
          <w:sz w:val="22"/>
          <w:szCs w:val="22"/>
        </w:rPr>
      </w:pPr>
      <w:r w:rsidRPr="0095311E">
        <w:rPr>
          <w:rFonts w:asciiTheme="minorHAnsi" w:hAnsiTheme="minorHAnsi" w:cstheme="minorHAnsi"/>
          <w:sz w:val="22"/>
          <w:szCs w:val="22"/>
        </w:rPr>
        <w:t>Článok 4</w:t>
      </w:r>
    </w:p>
    <w:p w14:paraId="5CE3E46D" w14:textId="77777777" w:rsidR="001A663B" w:rsidRPr="0095311E" w:rsidRDefault="001A663B" w:rsidP="00EE0144">
      <w:pPr>
        <w:pStyle w:val="BodyText"/>
        <w:spacing w:line="230" w:lineRule="auto"/>
        <w:ind w:left="113" w:right="118" w:firstLine="355"/>
        <w:jc w:val="center"/>
        <w:rPr>
          <w:rFonts w:asciiTheme="minorHAnsi" w:eastAsia="Times New Roman" w:hAnsiTheme="minorHAnsi" w:cstheme="minorHAnsi"/>
          <w:sz w:val="22"/>
          <w:szCs w:val="22"/>
        </w:rPr>
      </w:pPr>
    </w:p>
    <w:p w14:paraId="11376A67" w14:textId="77777777" w:rsidR="00B94B6F" w:rsidRPr="0095311E" w:rsidRDefault="00B94B6F" w:rsidP="00B94B6F">
      <w:pPr>
        <w:shd w:val="clear" w:color="auto" w:fill="FFFFFF"/>
        <w:ind w:firstLine="284"/>
        <w:jc w:val="both"/>
        <w:rPr>
          <w:rFonts w:asciiTheme="minorHAnsi" w:eastAsia="Times New Roman" w:hAnsiTheme="minorHAnsi" w:cstheme="minorHAnsi"/>
        </w:rPr>
      </w:pPr>
      <w:r w:rsidRPr="0095311E">
        <w:rPr>
          <w:rFonts w:asciiTheme="minorHAnsi" w:hAnsiTheme="minorHAnsi" w:cstheme="minorHAnsi"/>
        </w:rPr>
        <w:t>Prihláška na súbeh sa podáva písomne, na jednotnom formulári, ktorý je zverejnený na webovej stránke sekretariátu v lehote, ktorá nemôže byť kratšia ako 15 dní odo dňa zverejnenia súbehu.</w:t>
      </w:r>
    </w:p>
    <w:p w14:paraId="15F9B947" w14:textId="77777777" w:rsidR="00B94B6F" w:rsidRPr="0095311E" w:rsidRDefault="00B94B6F" w:rsidP="00B94B6F">
      <w:pPr>
        <w:ind w:firstLine="142"/>
        <w:jc w:val="both"/>
        <w:rPr>
          <w:rFonts w:asciiTheme="minorHAnsi" w:eastAsia="Times New Roman" w:hAnsiTheme="minorHAnsi" w:cstheme="minorHAnsi"/>
        </w:rPr>
      </w:pPr>
      <w:r w:rsidRPr="0095311E">
        <w:rPr>
          <w:rFonts w:asciiTheme="minorHAnsi" w:hAnsiTheme="minorHAnsi" w:cstheme="minorHAnsi"/>
        </w:rPr>
        <w:t>Počet prihlášok, ktoré jeden žiadateľ môže podať, nie je obmedzený, okrem prípadu, ak je v súbehu uvedené inak.</w:t>
      </w:r>
    </w:p>
    <w:p w14:paraId="5EA92986" w14:textId="7A4D9222" w:rsidR="009E6661" w:rsidRPr="0095311E" w:rsidRDefault="00077BF8" w:rsidP="006E728C">
      <w:pPr>
        <w:pStyle w:val="BodyText"/>
        <w:spacing w:line="230" w:lineRule="auto"/>
        <w:ind w:left="113" w:right="118" w:firstLine="355"/>
        <w:jc w:val="both"/>
        <w:rPr>
          <w:rFonts w:asciiTheme="minorHAnsi" w:eastAsia="Times New Roman" w:hAnsiTheme="minorHAnsi" w:cstheme="minorHAnsi"/>
          <w:sz w:val="22"/>
          <w:szCs w:val="22"/>
        </w:rPr>
      </w:pPr>
      <w:r w:rsidRPr="0095311E">
        <w:rPr>
          <w:rFonts w:asciiTheme="minorHAnsi" w:hAnsiTheme="minorHAnsi" w:cstheme="minorHAnsi"/>
          <w:sz w:val="22"/>
          <w:szCs w:val="22"/>
        </w:rPr>
        <w:t>Dokumentáciu, ktorá sa predkladá spolu s prihláškou na súbeh pokrajinský sekretariát predpíše v súbehu.</w:t>
      </w:r>
    </w:p>
    <w:p w14:paraId="4E232C47" w14:textId="77777777" w:rsidR="00BA0A1B" w:rsidRPr="0095311E" w:rsidRDefault="00BA0A1B" w:rsidP="00BA0A1B">
      <w:pPr>
        <w:ind w:firstLine="720"/>
        <w:jc w:val="both"/>
        <w:rPr>
          <w:rFonts w:asciiTheme="minorHAnsi" w:eastAsia="Times New Roman" w:hAnsiTheme="minorHAnsi" w:cstheme="minorHAnsi"/>
          <w:noProof/>
        </w:rPr>
      </w:pPr>
      <w:r w:rsidRPr="0095311E">
        <w:rPr>
          <w:rFonts w:asciiTheme="minorHAnsi" w:hAnsiTheme="minorHAnsi" w:cstheme="minorHAnsi"/>
        </w:rPr>
        <w:t>Súbeh je otvorený od 5. februára 2025 do 7. marca 2025.</w:t>
      </w:r>
    </w:p>
    <w:p w14:paraId="0CEC0D81" w14:textId="77777777" w:rsidR="002B256C" w:rsidRPr="0095311E" w:rsidRDefault="002B256C" w:rsidP="006E728C">
      <w:pPr>
        <w:pStyle w:val="BodyText"/>
        <w:spacing w:line="230" w:lineRule="auto"/>
        <w:ind w:left="113" w:right="118" w:firstLine="355"/>
        <w:jc w:val="both"/>
        <w:rPr>
          <w:rFonts w:asciiTheme="minorHAnsi" w:eastAsia="Times New Roman" w:hAnsiTheme="minorHAnsi" w:cstheme="minorHAnsi"/>
          <w:sz w:val="22"/>
          <w:szCs w:val="22"/>
        </w:rPr>
      </w:pPr>
    </w:p>
    <w:p w14:paraId="1AAAD4DF" w14:textId="77777777" w:rsidR="006E728C" w:rsidRPr="0095311E" w:rsidRDefault="006E728C" w:rsidP="006E728C">
      <w:pPr>
        <w:pStyle w:val="BodyText"/>
        <w:spacing w:line="230" w:lineRule="auto"/>
        <w:ind w:left="113" w:right="118" w:firstLine="355"/>
        <w:jc w:val="both"/>
        <w:rPr>
          <w:rFonts w:asciiTheme="minorHAnsi" w:eastAsia="Times New Roman" w:hAnsiTheme="minorHAnsi" w:cstheme="minorHAnsi"/>
          <w:sz w:val="22"/>
          <w:szCs w:val="22"/>
        </w:rPr>
      </w:pPr>
    </w:p>
    <w:p w14:paraId="6CF0FABF" w14:textId="7905CAB6" w:rsidR="00EE0144" w:rsidRPr="0095311E" w:rsidRDefault="00EE0144" w:rsidP="006E728C">
      <w:pPr>
        <w:pStyle w:val="BodyText"/>
        <w:ind w:left="216" w:right="196"/>
        <w:jc w:val="center"/>
        <w:rPr>
          <w:rFonts w:asciiTheme="minorHAnsi" w:eastAsia="Times New Roman" w:hAnsiTheme="minorHAnsi" w:cstheme="minorHAnsi"/>
          <w:b/>
          <w:sz w:val="22"/>
          <w:szCs w:val="22"/>
        </w:rPr>
      </w:pPr>
      <w:r w:rsidRPr="0095311E">
        <w:rPr>
          <w:rFonts w:asciiTheme="minorHAnsi" w:hAnsiTheme="minorHAnsi" w:cstheme="minorHAnsi"/>
          <w:b/>
          <w:sz w:val="22"/>
          <w:szCs w:val="22"/>
        </w:rPr>
        <w:t>Komisia na uskutočnenie súbehu</w:t>
      </w:r>
    </w:p>
    <w:p w14:paraId="26B524AA" w14:textId="436B8BA2" w:rsidR="009E6661" w:rsidRPr="0095311E" w:rsidRDefault="00077BF8" w:rsidP="006E728C">
      <w:pPr>
        <w:pStyle w:val="BodyText"/>
        <w:ind w:left="216" w:right="196"/>
        <w:jc w:val="center"/>
        <w:rPr>
          <w:rFonts w:asciiTheme="minorHAnsi" w:eastAsia="Times New Roman" w:hAnsiTheme="minorHAnsi" w:cstheme="minorHAnsi"/>
          <w:sz w:val="22"/>
          <w:szCs w:val="22"/>
        </w:rPr>
      </w:pPr>
      <w:r w:rsidRPr="0095311E">
        <w:rPr>
          <w:rFonts w:asciiTheme="minorHAnsi" w:hAnsiTheme="minorHAnsi" w:cstheme="minorHAnsi"/>
          <w:sz w:val="22"/>
          <w:szCs w:val="22"/>
        </w:rPr>
        <w:t>Článok 5</w:t>
      </w:r>
    </w:p>
    <w:p w14:paraId="0E4C4356" w14:textId="77777777" w:rsidR="006E728C" w:rsidRPr="0095311E" w:rsidRDefault="006E728C" w:rsidP="006E728C">
      <w:pPr>
        <w:pStyle w:val="BodyText"/>
        <w:ind w:left="216" w:right="196"/>
        <w:jc w:val="center"/>
        <w:rPr>
          <w:rFonts w:asciiTheme="minorHAnsi" w:eastAsia="Times New Roman" w:hAnsiTheme="minorHAnsi" w:cstheme="minorHAnsi"/>
          <w:sz w:val="22"/>
          <w:szCs w:val="22"/>
        </w:rPr>
      </w:pPr>
    </w:p>
    <w:p w14:paraId="1A5C01E0" w14:textId="77777777" w:rsidR="00B028EF" w:rsidRPr="0095311E" w:rsidRDefault="00077BF8" w:rsidP="00F337F1">
      <w:pPr>
        <w:pStyle w:val="BodyText"/>
        <w:spacing w:before="10"/>
        <w:ind w:firstLine="450"/>
        <w:jc w:val="both"/>
        <w:rPr>
          <w:rFonts w:asciiTheme="minorHAnsi" w:hAnsiTheme="minorHAnsi" w:cstheme="minorHAnsi"/>
          <w:sz w:val="22"/>
          <w:szCs w:val="22"/>
        </w:rPr>
      </w:pPr>
      <w:r w:rsidRPr="0095311E">
        <w:rPr>
          <w:rFonts w:asciiTheme="minorHAnsi" w:hAnsiTheme="minorHAnsi" w:cstheme="minorHAnsi"/>
          <w:sz w:val="22"/>
          <w:szCs w:val="22"/>
        </w:rPr>
        <w:t>Pokrajinský tajomník príslušný pre úkony vzdelávania (ďalej len: pokrajinský tajomník) zriaďuje komisiu pre realizáciu súbehu.</w:t>
      </w:r>
    </w:p>
    <w:p w14:paraId="4427DAF3" w14:textId="37F3EF86" w:rsidR="00F337F1" w:rsidRPr="0095311E" w:rsidRDefault="00077BF8" w:rsidP="00B028EF">
      <w:pPr>
        <w:pStyle w:val="BodyText"/>
        <w:spacing w:before="10"/>
        <w:ind w:firstLine="450"/>
        <w:jc w:val="both"/>
        <w:rPr>
          <w:rFonts w:asciiTheme="minorHAnsi" w:eastAsia="Times New Roman" w:hAnsiTheme="minorHAnsi" w:cstheme="minorHAnsi"/>
          <w:noProof/>
          <w:sz w:val="22"/>
          <w:szCs w:val="22"/>
        </w:rPr>
      </w:pPr>
      <w:r w:rsidRPr="0095311E">
        <w:rPr>
          <w:rFonts w:asciiTheme="minorHAnsi" w:hAnsiTheme="minorHAnsi" w:cstheme="minorHAnsi"/>
          <w:sz w:val="22"/>
          <w:szCs w:val="22"/>
        </w:rPr>
        <w:t xml:space="preserve"> Členovia komisie sú povinní podpísať vyhlásenie, že nemajú súkromný záujem v súvislosti s prácou a rozhodovaním komisie, resp. uskutočňovaním súbehu (vyhlásenie o nejestvovaní stretu záujmov).</w:t>
      </w:r>
    </w:p>
    <w:p w14:paraId="48076F86" w14:textId="1C4537E3" w:rsidR="00F337F1" w:rsidRPr="0095311E" w:rsidRDefault="00473CA2" w:rsidP="00BA0A1B">
      <w:pPr>
        <w:widowControl/>
        <w:shd w:val="clear" w:color="auto" w:fill="FFFFFF"/>
        <w:autoSpaceDE/>
        <w:autoSpaceDN/>
        <w:ind w:firstLine="480"/>
        <w:jc w:val="both"/>
        <w:rPr>
          <w:rFonts w:asciiTheme="minorHAnsi" w:eastAsia="Times New Roman" w:hAnsiTheme="minorHAnsi" w:cstheme="minorHAnsi"/>
        </w:rPr>
      </w:pPr>
      <w:r w:rsidRPr="0095311E">
        <w:rPr>
          <w:rFonts w:asciiTheme="minorHAnsi" w:hAnsiTheme="minorHAnsi" w:cstheme="minorHAnsi"/>
        </w:rPr>
        <w:t>Stret záujmov nastáva, ak člen komisie alebo členovia jeho rodiny (manžel / manželka alebo nemanželský partner, dieťa alebo rodič) sú zamestnancami alebo členmi orgánu užívateľa, zúčastňujúceho sa súbehu alebo akejkoľvek inej právnickej osoby akýmkoľvek spôsobom prepojenej s daným užívateľom alebo vo vzťahu k daným užívateľom má akýkoľvek materiálny alebo nemateriálny záujem, ktorý je v rozpore s verejným záujmom, a to v prípadoch rodinných väzieb, ekonomických záujmov alebo iného spoločného záujmu.</w:t>
      </w:r>
    </w:p>
    <w:p w14:paraId="604E39F3" w14:textId="09F99196" w:rsidR="00F337F1" w:rsidRPr="0095311E" w:rsidRDefault="00473CA2" w:rsidP="00BA0A1B">
      <w:pPr>
        <w:widowControl/>
        <w:shd w:val="clear" w:color="auto" w:fill="FFFFFF"/>
        <w:autoSpaceDE/>
        <w:autoSpaceDN/>
        <w:ind w:firstLine="480"/>
        <w:jc w:val="both"/>
        <w:rPr>
          <w:rFonts w:asciiTheme="minorHAnsi" w:eastAsia="Times New Roman" w:hAnsiTheme="minorHAnsi" w:cstheme="minorHAnsi"/>
        </w:rPr>
      </w:pPr>
      <w:r w:rsidRPr="0095311E">
        <w:rPr>
          <w:rFonts w:asciiTheme="minorHAnsi" w:hAnsiTheme="minorHAnsi" w:cstheme="minorHAnsi"/>
        </w:rPr>
        <w:t xml:space="preserve">Člen komisie podpíše vyhlásenie pred prvým úkonom súvisiacim so súbehom. </w:t>
      </w:r>
    </w:p>
    <w:p w14:paraId="090E6F3A" w14:textId="5AE70B3E" w:rsidR="00F337F1" w:rsidRPr="0095311E" w:rsidRDefault="00473CA2" w:rsidP="00BA0A1B">
      <w:pPr>
        <w:widowControl/>
        <w:shd w:val="clear" w:color="auto" w:fill="FFFFFF"/>
        <w:autoSpaceDE/>
        <w:autoSpaceDN/>
        <w:ind w:firstLine="480"/>
        <w:jc w:val="both"/>
        <w:rPr>
          <w:rFonts w:asciiTheme="minorHAnsi" w:eastAsia="Times New Roman" w:hAnsiTheme="minorHAnsi" w:cstheme="minorHAnsi"/>
        </w:rPr>
      </w:pPr>
      <w:r w:rsidRPr="0095311E">
        <w:rPr>
          <w:rFonts w:asciiTheme="minorHAnsi" w:hAnsiTheme="minorHAnsi" w:cstheme="minorHAnsi"/>
        </w:rPr>
        <w:t>Pre prípad zistenia, že je v konflikte záujmov, člen komisie je povinný o tom ihneď upovedomiť iných členov komisie a byť vyňatý z ďalšej práce komisie. Sekretariát rozhoduje o riešení konfliktu záujmov v každom prípade samostatne a pri zistení konfliktu záujmov vymenuje do komisie nového člena ako náhradu.</w:t>
      </w:r>
    </w:p>
    <w:p w14:paraId="14F9944F" w14:textId="77777777" w:rsidR="0095311E" w:rsidRDefault="0095311E" w:rsidP="0016435F">
      <w:pPr>
        <w:widowControl/>
        <w:shd w:val="clear" w:color="auto" w:fill="FFFFFF"/>
        <w:autoSpaceDE/>
        <w:autoSpaceDN/>
        <w:spacing w:after="150"/>
        <w:ind w:firstLine="480"/>
        <w:jc w:val="center"/>
        <w:rPr>
          <w:rFonts w:asciiTheme="minorHAnsi" w:hAnsiTheme="minorHAnsi" w:cstheme="minorHAnsi"/>
        </w:rPr>
      </w:pPr>
    </w:p>
    <w:p w14:paraId="6CA73126" w14:textId="095B773A" w:rsidR="0016435F" w:rsidRPr="0095311E" w:rsidRDefault="0016435F" w:rsidP="0016435F">
      <w:pPr>
        <w:widowControl/>
        <w:shd w:val="clear" w:color="auto" w:fill="FFFFFF"/>
        <w:autoSpaceDE/>
        <w:autoSpaceDN/>
        <w:spacing w:after="150"/>
        <w:ind w:firstLine="480"/>
        <w:jc w:val="center"/>
        <w:rPr>
          <w:rFonts w:asciiTheme="minorHAnsi" w:eastAsia="Times New Roman" w:hAnsiTheme="minorHAnsi" w:cstheme="minorHAnsi"/>
        </w:rPr>
      </w:pPr>
      <w:r w:rsidRPr="0095311E">
        <w:rPr>
          <w:rFonts w:asciiTheme="minorHAnsi" w:hAnsiTheme="minorHAnsi" w:cstheme="minorHAnsi"/>
        </w:rPr>
        <w:t>Článok 6</w:t>
      </w:r>
    </w:p>
    <w:p w14:paraId="78814063" w14:textId="77777777" w:rsidR="00B028EF" w:rsidRPr="0095311E" w:rsidRDefault="00B028EF" w:rsidP="00B028EF">
      <w:pPr>
        <w:spacing w:line="100" w:lineRule="atLeast"/>
        <w:ind w:left="-284" w:right="-431" w:firstLine="283"/>
        <w:jc w:val="both"/>
        <w:rPr>
          <w:rFonts w:asciiTheme="minorHAnsi" w:eastAsia="Times New Roman" w:hAnsiTheme="minorHAnsi" w:cstheme="minorHAnsi"/>
          <w:noProof/>
        </w:rPr>
      </w:pPr>
      <w:r w:rsidRPr="0095311E">
        <w:rPr>
          <w:rFonts w:asciiTheme="minorHAnsi" w:hAnsiTheme="minorHAnsi" w:cstheme="minorHAnsi"/>
        </w:rPr>
        <w:t>Po uplynutí lehoty na predkladanie prihlášok komisia začne posudzovať prihlášky.</w:t>
      </w:r>
    </w:p>
    <w:p w14:paraId="119000D1" w14:textId="77777777" w:rsidR="00B028EF" w:rsidRPr="0095311E" w:rsidRDefault="00B028EF" w:rsidP="00B028EF">
      <w:pPr>
        <w:spacing w:line="100" w:lineRule="atLeast"/>
        <w:ind w:left="-284" w:right="-431" w:firstLine="283"/>
        <w:jc w:val="both"/>
        <w:rPr>
          <w:rFonts w:asciiTheme="minorHAnsi" w:hAnsiTheme="minorHAnsi" w:cstheme="minorHAnsi"/>
          <w:noProof/>
        </w:rPr>
      </w:pPr>
      <w:r w:rsidRPr="0095311E">
        <w:rPr>
          <w:rFonts w:asciiTheme="minorHAnsi" w:hAnsiTheme="minorHAnsi" w:cstheme="minorHAnsi"/>
        </w:rPr>
        <w:t>Komisia rozhodnutím odmietne neúplné alebo nesprávne vyplnené žiadosti, t. j. prihlášky, v ktorých nie sú vyplnené všetky povinné polia (nepovinné polia sú uvedené vo formulári prihlášky), ako aj prihlášky, ktoré nie sú podpísané a opečiatkované, ako aj oneskorené prihlášky.</w:t>
      </w:r>
    </w:p>
    <w:p w14:paraId="5C7C064D" w14:textId="77777777" w:rsidR="00B028EF" w:rsidRPr="0095311E" w:rsidRDefault="00B028EF" w:rsidP="00B028EF">
      <w:pPr>
        <w:spacing w:line="100" w:lineRule="atLeast"/>
        <w:ind w:left="-284" w:right="-431" w:firstLine="283"/>
        <w:jc w:val="both"/>
        <w:rPr>
          <w:rFonts w:asciiTheme="minorHAnsi" w:hAnsiTheme="minorHAnsi" w:cstheme="minorHAnsi"/>
          <w:noProof/>
        </w:rPr>
      </w:pPr>
      <w:r w:rsidRPr="0095311E">
        <w:rPr>
          <w:rFonts w:asciiTheme="minorHAnsi" w:hAnsiTheme="minorHAnsi" w:cstheme="minorHAnsi"/>
        </w:rPr>
        <w:t xml:space="preserve">Komisia rozhodnutím zamietne aj neprijateľné prihlášky, a to: </w:t>
      </w:r>
    </w:p>
    <w:p w14:paraId="1D0A908A" w14:textId="77777777" w:rsidR="00B028EF" w:rsidRPr="0095311E"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rPr>
      </w:pPr>
      <w:r w:rsidRPr="0095311E">
        <w:rPr>
          <w:rFonts w:asciiTheme="minorHAnsi" w:hAnsiTheme="minorHAnsi" w:cstheme="minorHAnsi"/>
        </w:rPr>
        <w:t>nepovolené prihlášky predložené neoprávnenými osobami a subjektmi, ktoré neboli plánované v súbehu;</w:t>
      </w:r>
    </w:p>
    <w:p w14:paraId="3957CC6F" w14:textId="77777777" w:rsidR="00B028EF" w:rsidRPr="0095311E"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rPr>
      </w:pPr>
      <w:r w:rsidRPr="0095311E">
        <w:rPr>
          <w:rFonts w:asciiTheme="minorHAnsi" w:hAnsiTheme="minorHAnsi" w:cstheme="minorHAnsi"/>
        </w:rPr>
        <w:lastRenderedPageBreak/>
        <w:t>prihlášky, ktoré nesúvisia so súbehom plánovaným účelom z článku 2 týchto pravidiel;</w:t>
      </w:r>
    </w:p>
    <w:p w14:paraId="784A910B" w14:textId="77777777" w:rsidR="00B028EF" w:rsidRPr="0095311E"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rPr>
      </w:pPr>
      <w:r w:rsidRPr="0095311E">
        <w:rPr>
          <w:rFonts w:asciiTheme="minorHAnsi" w:hAnsiTheme="minorHAnsi" w:cstheme="minorHAnsi"/>
        </w:rPr>
        <w:t xml:space="preserve">prihlášky súvisiace s obstaraním zariadenia, investície alebo stále náklady a bežné činnosti podávateľa prihlášky; </w:t>
      </w:r>
    </w:p>
    <w:p w14:paraId="5FAB4137" w14:textId="77777777" w:rsidR="00B028EF" w:rsidRPr="0095311E"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rPr>
      </w:pPr>
      <w:r w:rsidRPr="0095311E">
        <w:rPr>
          <w:rFonts w:asciiTheme="minorHAnsi" w:hAnsiTheme="minorHAnsi" w:cstheme="minorHAnsi"/>
        </w:rPr>
        <w:t>prihlášky podávateľov prihlášok, ktorí nepredložili správu o vynaložení a použití pridelených finančných prostriedkov za predchádzajúci rok, t. j. u ktorých bolo zo správy zistené, že tieto prostriedky vynaložili nevhodne, ako aj prihlášky podávateľov, ktorí nesplnili svoje povinnosti z predchádzajúcich súbehov sekretariátu v zmysle predkladania fotografií alebo video materiálov ako dôkazov o realizovaných aktivitách;</w:t>
      </w:r>
    </w:p>
    <w:p w14:paraId="47F1BC50" w14:textId="77777777" w:rsidR="00B028EF" w:rsidRPr="0095311E"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rPr>
      </w:pPr>
      <w:r w:rsidRPr="0095311E">
        <w:rPr>
          <w:rFonts w:asciiTheme="minorHAnsi" w:hAnsiTheme="minorHAnsi" w:cstheme="minorHAnsi"/>
        </w:rPr>
        <w:t xml:space="preserve">prihlášky podávateľov prihlášok, ktorí nepredložili opisnú / finančnú správu o implementácii programov / projektov z predchádzajúceho roka v stanovených termínoch; </w:t>
      </w:r>
    </w:p>
    <w:p w14:paraId="1FD22108" w14:textId="77777777" w:rsidR="00B028EF" w:rsidRPr="0095311E" w:rsidRDefault="00B028EF" w:rsidP="00B028EF">
      <w:pPr>
        <w:pStyle w:val="ListParagraph"/>
        <w:widowControl/>
        <w:numPr>
          <w:ilvl w:val="0"/>
          <w:numId w:val="8"/>
        </w:numPr>
        <w:autoSpaceDE/>
        <w:autoSpaceDN/>
        <w:spacing w:line="276" w:lineRule="auto"/>
        <w:contextualSpacing/>
        <w:jc w:val="both"/>
        <w:rPr>
          <w:rFonts w:asciiTheme="minorHAnsi" w:eastAsia="Times New Roman" w:hAnsiTheme="minorHAnsi" w:cstheme="minorHAnsi"/>
          <w:noProof/>
        </w:rPr>
      </w:pPr>
      <w:r w:rsidRPr="0095311E">
        <w:rPr>
          <w:rFonts w:asciiTheme="minorHAnsi" w:hAnsiTheme="minorHAnsi" w:cstheme="minorHAnsi"/>
        </w:rPr>
        <w:t>programy, respektíve projekty, ktorých vykonávanie nie je možné počas bežného kalendárového resp. rozpočtového roka;</w:t>
      </w:r>
    </w:p>
    <w:p w14:paraId="5B49ECD2" w14:textId="77777777" w:rsidR="00B028EF" w:rsidRPr="0095311E" w:rsidRDefault="00B028EF" w:rsidP="00B028EF">
      <w:pPr>
        <w:pStyle w:val="ListParagraph"/>
        <w:widowControl/>
        <w:numPr>
          <w:ilvl w:val="0"/>
          <w:numId w:val="8"/>
        </w:numPr>
        <w:autoSpaceDE/>
        <w:autoSpaceDN/>
        <w:contextualSpacing/>
        <w:jc w:val="both"/>
        <w:rPr>
          <w:rFonts w:asciiTheme="minorHAnsi" w:eastAsia="Times New Roman" w:hAnsiTheme="minorHAnsi" w:cstheme="minorHAnsi"/>
          <w:noProof/>
        </w:rPr>
      </w:pPr>
      <w:r w:rsidRPr="0095311E">
        <w:rPr>
          <w:rFonts w:asciiTheme="minorHAnsi" w:hAnsiTheme="minorHAnsi" w:cstheme="minorHAnsi"/>
        </w:rPr>
        <w:t>prihlášky týkajúce sa obstarávania vybavenia alebo údržby vybavenia, ktoré súvisí s realizáciou projektu, ako aj iné kapitálne náklady.</w:t>
      </w:r>
    </w:p>
    <w:p w14:paraId="74728D0F" w14:textId="3E0F27FB" w:rsidR="001A663B" w:rsidRPr="0095311E" w:rsidRDefault="00B028EF" w:rsidP="00B028EF">
      <w:pPr>
        <w:pStyle w:val="BodyText"/>
        <w:spacing w:line="230" w:lineRule="auto"/>
        <w:ind w:left="113" w:right="118" w:firstLine="355"/>
        <w:jc w:val="both"/>
        <w:rPr>
          <w:rFonts w:asciiTheme="minorHAnsi" w:eastAsia="Times New Roman" w:hAnsiTheme="minorHAnsi" w:cstheme="minorHAnsi"/>
          <w:b/>
          <w:sz w:val="22"/>
          <w:szCs w:val="22"/>
        </w:rPr>
      </w:pPr>
      <w:r w:rsidRPr="0095311E">
        <w:rPr>
          <w:rFonts w:asciiTheme="minorHAnsi" w:hAnsiTheme="minorHAnsi" w:cstheme="minorHAnsi"/>
          <w:sz w:val="22"/>
          <w:szCs w:val="22"/>
        </w:rPr>
        <w:t>Žiadateľ má nárok podať odvolanie proti rozhodnutiu o odmietnutí prihlášky, a to do ôsmych dní odo dňa doručenia rozhodnutia. O odvolaní, ktoré musí byť zdôvodnené, rozhodne sekretariát do 15 dní od jeho doručenia.</w:t>
      </w:r>
    </w:p>
    <w:p w14:paraId="6261BB09" w14:textId="77777777" w:rsidR="001A663B" w:rsidRPr="0095311E" w:rsidRDefault="001A663B" w:rsidP="006E728C">
      <w:pPr>
        <w:pStyle w:val="BodyText"/>
        <w:spacing w:line="230" w:lineRule="auto"/>
        <w:ind w:left="113" w:right="118" w:firstLine="355"/>
        <w:jc w:val="center"/>
        <w:rPr>
          <w:rFonts w:asciiTheme="minorHAnsi" w:eastAsia="Times New Roman" w:hAnsiTheme="minorHAnsi" w:cstheme="minorHAnsi"/>
          <w:b/>
          <w:sz w:val="22"/>
          <w:szCs w:val="22"/>
        </w:rPr>
      </w:pPr>
    </w:p>
    <w:p w14:paraId="5E79EC07" w14:textId="77777777" w:rsidR="0040201D" w:rsidRPr="0095311E" w:rsidRDefault="0040201D" w:rsidP="006E728C">
      <w:pPr>
        <w:pStyle w:val="BodyText"/>
        <w:spacing w:line="230" w:lineRule="auto"/>
        <w:ind w:left="113" w:right="118" w:firstLine="355"/>
        <w:jc w:val="center"/>
        <w:rPr>
          <w:rFonts w:asciiTheme="minorHAnsi" w:eastAsia="Times New Roman" w:hAnsiTheme="minorHAnsi" w:cstheme="minorHAnsi"/>
          <w:b/>
          <w:sz w:val="22"/>
          <w:szCs w:val="22"/>
          <w:highlight w:val="yellow"/>
        </w:rPr>
      </w:pPr>
    </w:p>
    <w:p w14:paraId="49A6DD81" w14:textId="53AE3D7E" w:rsidR="00EE0144" w:rsidRPr="0095311E" w:rsidRDefault="00EE0144" w:rsidP="006E728C">
      <w:pPr>
        <w:pStyle w:val="BodyText"/>
        <w:spacing w:line="230" w:lineRule="auto"/>
        <w:ind w:left="113" w:right="118" w:firstLine="355"/>
        <w:jc w:val="center"/>
        <w:rPr>
          <w:rFonts w:asciiTheme="minorHAnsi" w:eastAsia="Times New Roman" w:hAnsiTheme="minorHAnsi" w:cstheme="minorHAnsi"/>
          <w:b/>
          <w:sz w:val="22"/>
          <w:szCs w:val="22"/>
        </w:rPr>
      </w:pPr>
      <w:r w:rsidRPr="0095311E">
        <w:rPr>
          <w:rFonts w:asciiTheme="minorHAnsi" w:hAnsiTheme="minorHAnsi" w:cstheme="minorHAnsi"/>
          <w:b/>
          <w:sz w:val="22"/>
          <w:szCs w:val="22"/>
        </w:rPr>
        <w:t>Kritériá pridelenia prostriedkov na súbehu</w:t>
      </w:r>
    </w:p>
    <w:p w14:paraId="3104DAEE" w14:textId="77777777" w:rsidR="004F595D" w:rsidRPr="0095311E" w:rsidRDefault="004F595D" w:rsidP="006E728C">
      <w:pPr>
        <w:pStyle w:val="BodyText"/>
        <w:spacing w:line="230" w:lineRule="auto"/>
        <w:ind w:left="113" w:right="118" w:firstLine="355"/>
        <w:jc w:val="center"/>
        <w:rPr>
          <w:rFonts w:asciiTheme="minorHAnsi" w:eastAsia="Times New Roman" w:hAnsiTheme="minorHAnsi" w:cstheme="minorHAnsi"/>
          <w:sz w:val="22"/>
          <w:szCs w:val="22"/>
        </w:rPr>
      </w:pPr>
    </w:p>
    <w:p w14:paraId="66C8EC30" w14:textId="0D983DA3" w:rsidR="009E6661" w:rsidRPr="0095311E" w:rsidRDefault="006E728C" w:rsidP="006E728C">
      <w:pPr>
        <w:pStyle w:val="BodyText"/>
        <w:spacing w:line="230" w:lineRule="auto"/>
        <w:ind w:left="113" w:right="118" w:firstLine="355"/>
        <w:jc w:val="center"/>
        <w:rPr>
          <w:rFonts w:asciiTheme="minorHAnsi" w:eastAsia="Times New Roman" w:hAnsiTheme="minorHAnsi" w:cstheme="minorHAnsi"/>
          <w:sz w:val="22"/>
          <w:szCs w:val="22"/>
        </w:rPr>
      </w:pPr>
      <w:r w:rsidRPr="0095311E">
        <w:rPr>
          <w:rFonts w:asciiTheme="minorHAnsi" w:hAnsiTheme="minorHAnsi" w:cstheme="minorHAnsi"/>
          <w:sz w:val="22"/>
          <w:szCs w:val="22"/>
        </w:rPr>
        <w:t>Článok 7</w:t>
      </w:r>
    </w:p>
    <w:p w14:paraId="4519C926" w14:textId="77777777" w:rsidR="009E6661" w:rsidRPr="0095311E" w:rsidRDefault="009E6661">
      <w:pPr>
        <w:pStyle w:val="BodyText"/>
        <w:spacing w:before="9"/>
        <w:rPr>
          <w:rFonts w:asciiTheme="minorHAnsi" w:hAnsiTheme="minorHAnsi" w:cstheme="minorHAnsi"/>
          <w:sz w:val="22"/>
          <w:szCs w:val="22"/>
        </w:rPr>
      </w:pPr>
    </w:p>
    <w:p w14:paraId="748E32E3" w14:textId="0E432322" w:rsidR="00487308" w:rsidRPr="0095311E" w:rsidRDefault="00487308" w:rsidP="006E728C">
      <w:pPr>
        <w:ind w:firstLine="468"/>
        <w:rPr>
          <w:rFonts w:asciiTheme="minorHAnsi" w:hAnsiTheme="minorHAnsi" w:cstheme="minorHAnsi"/>
        </w:rPr>
      </w:pPr>
    </w:p>
    <w:p w14:paraId="2DECAD65" w14:textId="32D305C1" w:rsidR="00487308" w:rsidRPr="0095311E" w:rsidRDefault="00487308" w:rsidP="004F595D">
      <w:pPr>
        <w:jc w:val="both"/>
        <w:rPr>
          <w:rFonts w:asciiTheme="minorHAnsi" w:hAnsiTheme="minorHAnsi" w:cstheme="minorHAnsi"/>
        </w:rPr>
      </w:pPr>
      <w:r w:rsidRPr="0095311E">
        <w:rPr>
          <w:rFonts w:ascii="MS Gothic" w:eastAsia="MS Gothic" w:hAnsi="MS Gothic" w:cs="MS Gothic" w:hint="eastAsia"/>
          <w:b/>
        </w:rPr>
        <w:t xml:space="preserve">　　　　</w:t>
      </w:r>
      <w:r w:rsidRPr="0095311E">
        <w:rPr>
          <w:rFonts w:asciiTheme="minorHAnsi" w:hAnsiTheme="minorHAnsi" w:cstheme="minorHAnsi"/>
        </w:rPr>
        <w:t xml:space="preserve"> Prihlášky žiadateľov, ktoré komisia zohľadnila, sú zoradené na základe týchto kritérií:  </w:t>
      </w:r>
    </w:p>
    <w:p w14:paraId="6BC4CDA9" w14:textId="6835D477" w:rsidR="00487308" w:rsidRPr="0095311E" w:rsidRDefault="00487308" w:rsidP="00487308">
      <w:pPr>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487308" w:rsidRPr="0095311E" w14:paraId="462E690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D2A9019" w14:textId="77777777" w:rsidR="00487308" w:rsidRPr="0095311E" w:rsidRDefault="00487308">
            <w:pPr>
              <w:adjustRightInd w:val="0"/>
              <w:jc w:val="center"/>
              <w:rPr>
                <w:rFonts w:asciiTheme="minorHAnsi" w:hAnsiTheme="minorHAnsi" w:cstheme="minorHAnsi"/>
              </w:rPr>
            </w:pPr>
            <w:r w:rsidRPr="0095311E">
              <w:rPr>
                <w:rFonts w:asciiTheme="minorHAnsi" w:hAnsiTheme="minorHAnsi" w:cstheme="minorHAnsi"/>
              </w:rPr>
              <w:t>Poradové</w:t>
            </w:r>
          </w:p>
          <w:p w14:paraId="34E6B5D2" w14:textId="77777777" w:rsidR="00487308" w:rsidRPr="0095311E" w:rsidRDefault="00487308">
            <w:pPr>
              <w:adjustRightInd w:val="0"/>
              <w:jc w:val="center"/>
              <w:rPr>
                <w:rFonts w:asciiTheme="minorHAnsi" w:hAnsiTheme="minorHAnsi" w:cstheme="minorHAnsi"/>
              </w:rPr>
            </w:pPr>
            <w:r w:rsidRPr="0095311E">
              <w:rPr>
                <w:rFonts w:asciiTheme="minorHAnsi" w:hAnsiTheme="minorHAnsi" w:cstheme="minorHAnsi"/>
              </w:rPr>
              <w:t>číslo</w:t>
            </w:r>
          </w:p>
        </w:tc>
        <w:tc>
          <w:tcPr>
            <w:tcW w:w="6211" w:type="dxa"/>
            <w:tcBorders>
              <w:top w:val="single" w:sz="4" w:space="0" w:color="auto"/>
              <w:left w:val="single" w:sz="4" w:space="0" w:color="auto"/>
              <w:bottom w:val="single" w:sz="4" w:space="0" w:color="auto"/>
              <w:right w:val="single" w:sz="4" w:space="0" w:color="auto"/>
            </w:tcBorders>
            <w:hideMark/>
          </w:tcPr>
          <w:p w14:paraId="11DA0F9C" w14:textId="3E7C48F4" w:rsidR="00487308" w:rsidRPr="0095311E" w:rsidRDefault="00487308" w:rsidP="004F595D">
            <w:pPr>
              <w:adjustRightInd w:val="0"/>
              <w:jc w:val="center"/>
              <w:rPr>
                <w:rFonts w:asciiTheme="minorHAnsi" w:hAnsiTheme="minorHAnsi" w:cstheme="minorHAnsi"/>
              </w:rPr>
            </w:pPr>
            <w:r w:rsidRPr="0095311E">
              <w:rPr>
                <w:rFonts w:asciiTheme="minorHAnsi" w:hAnsiTheme="minorHAnsi" w:cstheme="minorHAnsi"/>
              </w:rPr>
              <w:t>Kritériá</w:t>
            </w:r>
          </w:p>
        </w:tc>
        <w:tc>
          <w:tcPr>
            <w:tcW w:w="1016" w:type="dxa"/>
            <w:tcBorders>
              <w:top w:val="single" w:sz="4" w:space="0" w:color="auto"/>
              <w:left w:val="single" w:sz="4" w:space="0" w:color="auto"/>
              <w:bottom w:val="single" w:sz="4" w:space="0" w:color="auto"/>
              <w:right w:val="single" w:sz="4" w:space="0" w:color="auto"/>
            </w:tcBorders>
          </w:tcPr>
          <w:p w14:paraId="05DE7DED" w14:textId="77777777" w:rsidR="00487308" w:rsidRPr="0095311E" w:rsidRDefault="00487308">
            <w:pPr>
              <w:adjustRightInd w:val="0"/>
              <w:jc w:val="center"/>
              <w:rPr>
                <w:rFonts w:asciiTheme="minorHAnsi" w:hAnsiTheme="minorHAnsi" w:cstheme="minorHAnsi"/>
              </w:rPr>
            </w:pPr>
            <w:r w:rsidRPr="0095311E">
              <w:rPr>
                <w:rFonts w:asciiTheme="minorHAnsi" w:hAnsiTheme="minorHAnsi" w:cstheme="minorHAnsi"/>
              </w:rPr>
              <w:t>Body</w:t>
            </w:r>
          </w:p>
          <w:p w14:paraId="4391A9DD" w14:textId="77777777" w:rsidR="00487308" w:rsidRPr="0095311E" w:rsidRDefault="00487308">
            <w:pPr>
              <w:adjustRightInd w:val="0"/>
              <w:jc w:val="center"/>
              <w:rPr>
                <w:rFonts w:asciiTheme="minorHAnsi" w:hAnsiTheme="minorHAnsi" w:cstheme="minorHAnsi"/>
                <w:lang w:val="sr-Latn-RS"/>
              </w:rPr>
            </w:pPr>
          </w:p>
        </w:tc>
      </w:tr>
      <w:tr w:rsidR="00487308" w:rsidRPr="0095311E" w14:paraId="45EF39C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D8071BB" w14:textId="77777777" w:rsidR="00487308" w:rsidRPr="0095311E" w:rsidRDefault="00487308">
            <w:pPr>
              <w:adjustRightInd w:val="0"/>
              <w:jc w:val="center"/>
              <w:rPr>
                <w:rFonts w:asciiTheme="minorHAnsi" w:hAnsiTheme="minorHAnsi" w:cstheme="minorHAnsi"/>
              </w:rPr>
            </w:pPr>
            <w:r w:rsidRPr="0095311E">
              <w:rPr>
                <w:rFonts w:asciiTheme="minorHAnsi" w:hAnsiTheme="minorHAnsi" w:cstheme="minorHAnsi"/>
              </w:rPr>
              <w:t>1</w:t>
            </w:r>
          </w:p>
        </w:tc>
        <w:tc>
          <w:tcPr>
            <w:tcW w:w="6211" w:type="dxa"/>
            <w:tcBorders>
              <w:top w:val="single" w:sz="4" w:space="0" w:color="auto"/>
              <w:left w:val="single" w:sz="4" w:space="0" w:color="auto"/>
              <w:bottom w:val="single" w:sz="4" w:space="0" w:color="auto"/>
              <w:right w:val="single" w:sz="4" w:space="0" w:color="auto"/>
            </w:tcBorders>
            <w:hideMark/>
          </w:tcPr>
          <w:p w14:paraId="43980F9D" w14:textId="7998B60F" w:rsidR="00487308" w:rsidRPr="0095311E" w:rsidRDefault="00487308" w:rsidP="00B028EF">
            <w:pPr>
              <w:ind w:left="-15"/>
              <w:rPr>
                <w:rFonts w:asciiTheme="minorHAnsi" w:hAnsiTheme="minorHAnsi" w:cstheme="minorHAnsi"/>
              </w:rPr>
            </w:pPr>
            <w:r w:rsidRPr="0095311E">
              <w:rPr>
                <w:rFonts w:asciiTheme="minorHAnsi" w:hAnsiTheme="minorHAnsi" w:cstheme="minorHAnsi"/>
              </w:rPr>
              <w:t>význam plánovanej investície do zariadení s cieľom zvýšiť kvalitu a modernizovať výkonnosť výučby,</w:t>
            </w:r>
          </w:p>
        </w:tc>
        <w:tc>
          <w:tcPr>
            <w:tcW w:w="1016" w:type="dxa"/>
            <w:tcBorders>
              <w:top w:val="single" w:sz="4" w:space="0" w:color="auto"/>
              <w:left w:val="single" w:sz="4" w:space="0" w:color="auto"/>
              <w:bottom w:val="single" w:sz="4" w:space="0" w:color="auto"/>
              <w:right w:val="single" w:sz="4" w:space="0" w:color="auto"/>
            </w:tcBorders>
            <w:hideMark/>
          </w:tcPr>
          <w:p w14:paraId="658BF97E" w14:textId="613BCB7D" w:rsidR="00487308" w:rsidRPr="0095311E" w:rsidRDefault="004F595D">
            <w:pPr>
              <w:adjustRightInd w:val="0"/>
              <w:jc w:val="center"/>
              <w:rPr>
                <w:rFonts w:asciiTheme="minorHAnsi" w:hAnsiTheme="minorHAnsi" w:cstheme="minorHAnsi"/>
              </w:rPr>
            </w:pPr>
            <w:r w:rsidRPr="0095311E">
              <w:rPr>
                <w:rFonts w:asciiTheme="minorHAnsi" w:hAnsiTheme="minorHAnsi" w:cstheme="minorHAnsi"/>
              </w:rPr>
              <w:t>0 – 30</w:t>
            </w:r>
          </w:p>
        </w:tc>
      </w:tr>
      <w:tr w:rsidR="00487308" w:rsidRPr="0095311E" w14:paraId="2BF124F1"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58778EF" w14:textId="77777777" w:rsidR="00487308" w:rsidRPr="0095311E" w:rsidRDefault="00487308">
            <w:pPr>
              <w:adjustRightInd w:val="0"/>
              <w:jc w:val="center"/>
              <w:rPr>
                <w:rFonts w:asciiTheme="minorHAnsi" w:hAnsiTheme="minorHAnsi" w:cstheme="minorHAnsi"/>
              </w:rPr>
            </w:pPr>
            <w:r w:rsidRPr="0095311E">
              <w:rPr>
                <w:rFonts w:asciiTheme="minorHAnsi" w:hAnsiTheme="minorHAnsi" w:cstheme="minorHAnsi"/>
              </w:rPr>
              <w:t>2</w:t>
            </w:r>
          </w:p>
        </w:tc>
        <w:tc>
          <w:tcPr>
            <w:tcW w:w="6211" w:type="dxa"/>
            <w:tcBorders>
              <w:top w:val="single" w:sz="4" w:space="0" w:color="auto"/>
              <w:left w:val="single" w:sz="4" w:space="0" w:color="auto"/>
              <w:bottom w:val="single" w:sz="4" w:space="0" w:color="auto"/>
              <w:right w:val="single" w:sz="4" w:space="0" w:color="auto"/>
            </w:tcBorders>
            <w:hideMark/>
          </w:tcPr>
          <w:p w14:paraId="393717CE" w14:textId="4A8767FB" w:rsidR="00487308" w:rsidRPr="0095311E" w:rsidRDefault="00487308">
            <w:pPr>
              <w:adjustRightInd w:val="0"/>
              <w:rPr>
                <w:rFonts w:asciiTheme="minorHAnsi" w:hAnsiTheme="minorHAnsi" w:cstheme="minorHAnsi"/>
              </w:rPr>
            </w:pPr>
            <w:r w:rsidRPr="0095311E">
              <w:rPr>
                <w:rFonts w:asciiTheme="minorHAnsi" w:hAnsiTheme="minorHAnsi" w:cstheme="minorHAnsi"/>
              </w:rPr>
              <w:t>potreba vybavenia na organizáciu výučby,</w:t>
            </w:r>
          </w:p>
        </w:tc>
        <w:tc>
          <w:tcPr>
            <w:tcW w:w="1016" w:type="dxa"/>
            <w:tcBorders>
              <w:top w:val="single" w:sz="4" w:space="0" w:color="auto"/>
              <w:left w:val="single" w:sz="4" w:space="0" w:color="auto"/>
              <w:bottom w:val="single" w:sz="4" w:space="0" w:color="auto"/>
              <w:right w:val="single" w:sz="4" w:space="0" w:color="auto"/>
            </w:tcBorders>
            <w:hideMark/>
          </w:tcPr>
          <w:p w14:paraId="37F0CCE4" w14:textId="1A44ECFB" w:rsidR="00487308" w:rsidRPr="0095311E" w:rsidRDefault="004F595D">
            <w:pPr>
              <w:adjustRightInd w:val="0"/>
              <w:jc w:val="center"/>
              <w:rPr>
                <w:rFonts w:asciiTheme="minorHAnsi" w:hAnsiTheme="minorHAnsi" w:cstheme="minorHAnsi"/>
              </w:rPr>
            </w:pPr>
            <w:r w:rsidRPr="0095311E">
              <w:rPr>
                <w:rFonts w:asciiTheme="minorHAnsi" w:hAnsiTheme="minorHAnsi" w:cstheme="minorHAnsi"/>
              </w:rPr>
              <w:t>0 – 10</w:t>
            </w:r>
          </w:p>
        </w:tc>
      </w:tr>
      <w:tr w:rsidR="004F595D" w:rsidRPr="0095311E" w14:paraId="028F3C65"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7B582B0E" w14:textId="34B05D05" w:rsidR="004F595D" w:rsidRPr="0095311E" w:rsidRDefault="00B028EF" w:rsidP="004F595D">
            <w:pPr>
              <w:adjustRightInd w:val="0"/>
              <w:jc w:val="center"/>
              <w:rPr>
                <w:rFonts w:asciiTheme="minorHAnsi" w:hAnsiTheme="minorHAnsi" w:cstheme="minorHAnsi"/>
              </w:rPr>
            </w:pPr>
            <w:r w:rsidRPr="0095311E">
              <w:rPr>
                <w:rFonts w:asciiTheme="minorHAnsi" w:hAnsiTheme="minorHAnsi" w:cstheme="minorHAnsi"/>
              </w:rPr>
              <w:t>3</w:t>
            </w:r>
          </w:p>
        </w:tc>
        <w:tc>
          <w:tcPr>
            <w:tcW w:w="6211" w:type="dxa"/>
            <w:tcBorders>
              <w:top w:val="single" w:sz="4" w:space="0" w:color="auto"/>
              <w:left w:val="single" w:sz="4" w:space="0" w:color="auto"/>
              <w:bottom w:val="single" w:sz="4" w:space="0" w:color="auto"/>
              <w:right w:val="single" w:sz="4" w:space="0" w:color="auto"/>
            </w:tcBorders>
            <w:hideMark/>
          </w:tcPr>
          <w:p w14:paraId="0078A15D" w14:textId="3E2402DD" w:rsidR="004F595D" w:rsidRPr="0095311E" w:rsidRDefault="004F595D" w:rsidP="004F595D">
            <w:pPr>
              <w:adjustRightInd w:val="0"/>
              <w:rPr>
                <w:rFonts w:asciiTheme="minorHAnsi" w:hAnsiTheme="minorHAnsi" w:cstheme="minorHAnsi"/>
              </w:rPr>
            </w:pPr>
            <w:r w:rsidRPr="0095311E">
              <w:rPr>
                <w:rFonts w:asciiTheme="minorHAnsi" w:hAnsiTheme="minorHAnsi" w:cstheme="minorHAnsi"/>
              </w:rPr>
              <w:t>počet žiakov v škole – počet koncových užívateľov,</w:t>
            </w:r>
          </w:p>
        </w:tc>
        <w:tc>
          <w:tcPr>
            <w:tcW w:w="1016" w:type="dxa"/>
            <w:tcBorders>
              <w:top w:val="single" w:sz="4" w:space="0" w:color="auto"/>
              <w:left w:val="single" w:sz="4" w:space="0" w:color="auto"/>
              <w:bottom w:val="single" w:sz="4" w:space="0" w:color="auto"/>
              <w:right w:val="single" w:sz="4" w:space="0" w:color="auto"/>
            </w:tcBorders>
            <w:hideMark/>
          </w:tcPr>
          <w:p w14:paraId="75BA2E4D" w14:textId="70D162DD" w:rsidR="004F595D" w:rsidRPr="0095311E" w:rsidRDefault="004F595D" w:rsidP="004F595D">
            <w:pPr>
              <w:adjustRightInd w:val="0"/>
              <w:jc w:val="center"/>
              <w:rPr>
                <w:rFonts w:asciiTheme="minorHAnsi" w:hAnsiTheme="minorHAnsi" w:cstheme="minorHAnsi"/>
              </w:rPr>
            </w:pPr>
            <w:r w:rsidRPr="0095311E">
              <w:rPr>
                <w:rFonts w:asciiTheme="minorHAnsi" w:hAnsiTheme="minorHAnsi" w:cstheme="minorHAnsi"/>
              </w:rPr>
              <w:t>0 – 10</w:t>
            </w:r>
          </w:p>
        </w:tc>
      </w:tr>
      <w:tr w:rsidR="004F595D" w:rsidRPr="0095311E" w14:paraId="7AE77760"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4C0CA6AA" w14:textId="672B7884" w:rsidR="004F595D" w:rsidRPr="0095311E" w:rsidRDefault="00B028EF" w:rsidP="004F595D">
            <w:pPr>
              <w:adjustRightInd w:val="0"/>
              <w:jc w:val="center"/>
              <w:rPr>
                <w:rFonts w:asciiTheme="minorHAnsi" w:hAnsiTheme="minorHAnsi" w:cstheme="minorHAnsi"/>
              </w:rPr>
            </w:pPr>
            <w:r w:rsidRPr="0095311E">
              <w:rPr>
                <w:rFonts w:asciiTheme="minorHAnsi" w:hAnsiTheme="minorHAnsi" w:cstheme="minorHAnsi"/>
              </w:rPr>
              <w:t>4</w:t>
            </w:r>
          </w:p>
        </w:tc>
        <w:tc>
          <w:tcPr>
            <w:tcW w:w="6211" w:type="dxa"/>
            <w:tcBorders>
              <w:top w:val="single" w:sz="4" w:space="0" w:color="auto"/>
              <w:left w:val="single" w:sz="4" w:space="0" w:color="auto"/>
              <w:bottom w:val="single" w:sz="4" w:space="0" w:color="auto"/>
              <w:right w:val="single" w:sz="4" w:space="0" w:color="auto"/>
            </w:tcBorders>
            <w:hideMark/>
          </w:tcPr>
          <w:p w14:paraId="1C62958A" w14:textId="4B036018" w:rsidR="004F595D" w:rsidRPr="0095311E" w:rsidRDefault="004F595D" w:rsidP="004F595D">
            <w:pPr>
              <w:adjustRightInd w:val="0"/>
              <w:rPr>
                <w:rFonts w:asciiTheme="minorHAnsi" w:hAnsiTheme="minorHAnsi" w:cstheme="minorHAnsi"/>
              </w:rPr>
            </w:pPr>
            <w:r w:rsidRPr="0095311E">
              <w:rPr>
                <w:rFonts w:asciiTheme="minorHAnsi" w:hAnsiTheme="minorHAnsi" w:cstheme="minorHAnsi"/>
              </w:rPr>
              <w:t>stupeň rozvoja jednotky lokálnej samosprávy, na území ktorej sa nachádza vzdelávacia ustanovizeň</w:t>
            </w:r>
          </w:p>
        </w:tc>
        <w:tc>
          <w:tcPr>
            <w:tcW w:w="1016" w:type="dxa"/>
            <w:tcBorders>
              <w:top w:val="single" w:sz="4" w:space="0" w:color="auto"/>
              <w:left w:val="single" w:sz="4" w:space="0" w:color="auto"/>
              <w:bottom w:val="single" w:sz="4" w:space="0" w:color="auto"/>
              <w:right w:val="single" w:sz="4" w:space="0" w:color="auto"/>
            </w:tcBorders>
            <w:hideMark/>
          </w:tcPr>
          <w:p w14:paraId="27E442E8" w14:textId="18068856" w:rsidR="004F595D" w:rsidRPr="0095311E" w:rsidRDefault="004F595D" w:rsidP="004F595D">
            <w:pPr>
              <w:adjustRightInd w:val="0"/>
              <w:jc w:val="center"/>
              <w:rPr>
                <w:rFonts w:asciiTheme="minorHAnsi" w:hAnsiTheme="minorHAnsi" w:cstheme="minorHAnsi"/>
              </w:rPr>
            </w:pPr>
            <w:r w:rsidRPr="0095311E">
              <w:rPr>
                <w:rFonts w:asciiTheme="minorHAnsi" w:hAnsiTheme="minorHAnsi" w:cstheme="minorHAnsi"/>
              </w:rPr>
              <w:t>0 – 10</w:t>
            </w:r>
          </w:p>
        </w:tc>
      </w:tr>
      <w:tr w:rsidR="004F595D" w:rsidRPr="0095311E" w14:paraId="6A48A7CA"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1CDB8774" w14:textId="71065700" w:rsidR="004F595D" w:rsidRPr="0095311E" w:rsidRDefault="00B028EF" w:rsidP="004F595D">
            <w:pPr>
              <w:adjustRightInd w:val="0"/>
              <w:jc w:val="center"/>
              <w:rPr>
                <w:rFonts w:asciiTheme="minorHAnsi" w:hAnsiTheme="minorHAnsi" w:cstheme="minorHAnsi"/>
              </w:rPr>
            </w:pPr>
            <w:r w:rsidRPr="0095311E">
              <w:rPr>
                <w:rFonts w:asciiTheme="minorHAnsi" w:hAnsiTheme="minorHAnsi" w:cstheme="minorHAnsi"/>
              </w:rPr>
              <w:t>5</w:t>
            </w:r>
          </w:p>
        </w:tc>
        <w:tc>
          <w:tcPr>
            <w:tcW w:w="6211" w:type="dxa"/>
            <w:tcBorders>
              <w:top w:val="single" w:sz="4" w:space="0" w:color="auto"/>
              <w:left w:val="single" w:sz="4" w:space="0" w:color="auto"/>
              <w:bottom w:val="single" w:sz="4" w:space="0" w:color="auto"/>
              <w:right w:val="single" w:sz="4" w:space="0" w:color="auto"/>
            </w:tcBorders>
            <w:hideMark/>
          </w:tcPr>
          <w:p w14:paraId="2CE81E12" w14:textId="740D970A" w:rsidR="004F595D" w:rsidRPr="0095311E" w:rsidRDefault="004F595D" w:rsidP="004F595D">
            <w:pPr>
              <w:rPr>
                <w:rFonts w:asciiTheme="minorHAnsi" w:eastAsia="Times New Roman" w:hAnsiTheme="minorHAnsi" w:cstheme="minorHAnsi"/>
              </w:rPr>
            </w:pPr>
            <w:r w:rsidRPr="0095311E">
              <w:rPr>
                <w:rFonts w:asciiTheme="minorHAnsi" w:hAnsiTheme="minorHAnsi" w:cstheme="minorHAnsi"/>
              </w:rPr>
              <w:t>existencia iných zdrojov financovania obstarania vybavenia,</w:t>
            </w:r>
          </w:p>
        </w:tc>
        <w:tc>
          <w:tcPr>
            <w:tcW w:w="1016" w:type="dxa"/>
            <w:tcBorders>
              <w:top w:val="single" w:sz="4" w:space="0" w:color="auto"/>
              <w:left w:val="single" w:sz="4" w:space="0" w:color="auto"/>
              <w:bottom w:val="single" w:sz="4" w:space="0" w:color="auto"/>
              <w:right w:val="single" w:sz="4" w:space="0" w:color="auto"/>
            </w:tcBorders>
            <w:hideMark/>
          </w:tcPr>
          <w:p w14:paraId="3EB2BEA5" w14:textId="697CB0C7" w:rsidR="004F595D" w:rsidRPr="0095311E" w:rsidRDefault="004F595D" w:rsidP="004F595D">
            <w:pPr>
              <w:adjustRightInd w:val="0"/>
              <w:jc w:val="center"/>
              <w:rPr>
                <w:rFonts w:asciiTheme="minorHAnsi" w:hAnsiTheme="minorHAnsi" w:cstheme="minorHAnsi"/>
              </w:rPr>
            </w:pPr>
            <w:r w:rsidRPr="0095311E">
              <w:rPr>
                <w:rFonts w:asciiTheme="minorHAnsi" w:hAnsiTheme="minorHAnsi" w:cstheme="minorHAnsi"/>
              </w:rPr>
              <w:t>0 – 10</w:t>
            </w:r>
          </w:p>
        </w:tc>
      </w:tr>
      <w:tr w:rsidR="004F595D" w:rsidRPr="0095311E" w14:paraId="464B41E3"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hideMark/>
          </w:tcPr>
          <w:p w14:paraId="0059E726" w14:textId="2D7F5FA1" w:rsidR="004F595D" w:rsidRPr="0095311E" w:rsidRDefault="00B028EF" w:rsidP="004F595D">
            <w:pPr>
              <w:adjustRightInd w:val="0"/>
              <w:jc w:val="center"/>
              <w:rPr>
                <w:rFonts w:asciiTheme="minorHAnsi" w:hAnsiTheme="minorHAnsi" w:cstheme="minorHAnsi"/>
              </w:rPr>
            </w:pPr>
            <w:r w:rsidRPr="0095311E">
              <w:rPr>
                <w:rFonts w:asciiTheme="minorHAnsi" w:hAnsiTheme="minorHAnsi" w:cstheme="minorHAnsi"/>
              </w:rPr>
              <w:t>6</w:t>
            </w:r>
          </w:p>
        </w:tc>
        <w:tc>
          <w:tcPr>
            <w:tcW w:w="6211" w:type="dxa"/>
            <w:tcBorders>
              <w:top w:val="single" w:sz="4" w:space="0" w:color="auto"/>
              <w:left w:val="single" w:sz="4" w:space="0" w:color="auto"/>
              <w:bottom w:val="single" w:sz="4" w:space="0" w:color="auto"/>
              <w:right w:val="single" w:sz="4" w:space="0" w:color="auto"/>
            </w:tcBorders>
            <w:hideMark/>
          </w:tcPr>
          <w:p w14:paraId="14054C76" w14:textId="2C721BCD" w:rsidR="004F595D" w:rsidRPr="0095311E" w:rsidRDefault="004F595D" w:rsidP="004F595D">
            <w:pPr>
              <w:rPr>
                <w:rFonts w:asciiTheme="minorHAnsi" w:hAnsiTheme="minorHAnsi" w:cstheme="minorHAnsi"/>
              </w:rPr>
            </w:pPr>
            <w:r w:rsidRPr="0095311E">
              <w:rPr>
                <w:rFonts w:asciiTheme="minorHAnsi" w:hAnsiTheme="minorHAnsi" w:cstheme="minorHAnsi"/>
              </w:rPr>
              <w:t>obstaranie zariadení, ktoré možno realizovať hlavne v bežnom rozpočtovom roku</w:t>
            </w:r>
          </w:p>
        </w:tc>
        <w:tc>
          <w:tcPr>
            <w:tcW w:w="1016" w:type="dxa"/>
            <w:tcBorders>
              <w:top w:val="single" w:sz="4" w:space="0" w:color="auto"/>
              <w:left w:val="single" w:sz="4" w:space="0" w:color="auto"/>
              <w:bottom w:val="single" w:sz="4" w:space="0" w:color="auto"/>
              <w:right w:val="single" w:sz="4" w:space="0" w:color="auto"/>
            </w:tcBorders>
            <w:hideMark/>
          </w:tcPr>
          <w:p w14:paraId="4FF6B359" w14:textId="03744D8C" w:rsidR="004F595D" w:rsidRPr="0095311E" w:rsidRDefault="004F595D" w:rsidP="004F595D">
            <w:pPr>
              <w:adjustRightInd w:val="0"/>
              <w:jc w:val="center"/>
              <w:rPr>
                <w:rFonts w:asciiTheme="minorHAnsi" w:hAnsiTheme="minorHAnsi" w:cstheme="minorHAnsi"/>
              </w:rPr>
            </w:pPr>
            <w:r w:rsidRPr="0095311E">
              <w:rPr>
                <w:rFonts w:asciiTheme="minorHAnsi" w:hAnsiTheme="minorHAnsi" w:cstheme="minorHAnsi"/>
              </w:rPr>
              <w:t>0 – 10</w:t>
            </w:r>
          </w:p>
        </w:tc>
      </w:tr>
      <w:tr w:rsidR="004F595D" w:rsidRPr="0095311E" w14:paraId="7C90306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3503D717" w14:textId="14115BFF" w:rsidR="004F595D" w:rsidRPr="0095311E" w:rsidRDefault="00B028EF" w:rsidP="004F595D">
            <w:pPr>
              <w:adjustRightInd w:val="0"/>
              <w:jc w:val="center"/>
              <w:rPr>
                <w:rFonts w:asciiTheme="minorHAnsi" w:hAnsiTheme="minorHAnsi" w:cstheme="minorHAnsi"/>
              </w:rPr>
            </w:pPr>
            <w:r w:rsidRPr="0095311E">
              <w:rPr>
                <w:rFonts w:asciiTheme="minorHAnsi" w:hAnsiTheme="minorHAnsi" w:cstheme="minorHAnsi"/>
              </w:rPr>
              <w:t>7</w:t>
            </w:r>
          </w:p>
        </w:tc>
        <w:tc>
          <w:tcPr>
            <w:tcW w:w="6211" w:type="dxa"/>
            <w:tcBorders>
              <w:top w:val="single" w:sz="4" w:space="0" w:color="auto"/>
              <w:left w:val="single" w:sz="4" w:space="0" w:color="auto"/>
              <w:bottom w:val="single" w:sz="4" w:space="0" w:color="auto"/>
              <w:right w:val="single" w:sz="4" w:space="0" w:color="auto"/>
            </w:tcBorders>
          </w:tcPr>
          <w:p w14:paraId="6F5F51C3" w14:textId="40762C0E" w:rsidR="004F595D" w:rsidRPr="0095311E" w:rsidRDefault="004F595D" w:rsidP="004F595D">
            <w:pPr>
              <w:adjustRightInd w:val="0"/>
              <w:rPr>
                <w:rFonts w:asciiTheme="minorHAnsi" w:hAnsiTheme="minorHAnsi" w:cstheme="minorHAnsi"/>
              </w:rPr>
            </w:pPr>
            <w:r w:rsidRPr="0095311E">
              <w:rPr>
                <w:rFonts w:asciiTheme="minorHAnsi" w:hAnsiTheme="minorHAnsi" w:cstheme="minorHAnsi"/>
              </w:rPr>
              <w:t>včasné predkladanie správ o vynaložení prostriedkov prijatých z rozpočtu AP Vojvodiny za predchádzajúci rok,</w:t>
            </w:r>
          </w:p>
        </w:tc>
        <w:tc>
          <w:tcPr>
            <w:tcW w:w="1016" w:type="dxa"/>
            <w:tcBorders>
              <w:top w:val="single" w:sz="4" w:space="0" w:color="auto"/>
              <w:left w:val="single" w:sz="4" w:space="0" w:color="auto"/>
              <w:bottom w:val="single" w:sz="4" w:space="0" w:color="auto"/>
              <w:right w:val="single" w:sz="4" w:space="0" w:color="auto"/>
            </w:tcBorders>
          </w:tcPr>
          <w:p w14:paraId="36D09FD3" w14:textId="5D47ACE2" w:rsidR="004F595D" w:rsidRPr="0095311E" w:rsidRDefault="004F595D" w:rsidP="004F595D">
            <w:pPr>
              <w:adjustRightInd w:val="0"/>
              <w:jc w:val="center"/>
              <w:rPr>
                <w:rFonts w:asciiTheme="minorHAnsi" w:hAnsiTheme="minorHAnsi" w:cstheme="minorHAnsi"/>
              </w:rPr>
            </w:pPr>
            <w:r w:rsidRPr="0095311E">
              <w:rPr>
                <w:rFonts w:asciiTheme="minorHAnsi" w:hAnsiTheme="minorHAnsi" w:cstheme="minorHAnsi"/>
              </w:rPr>
              <w:t>0 – 10</w:t>
            </w:r>
          </w:p>
        </w:tc>
      </w:tr>
      <w:tr w:rsidR="004F595D" w:rsidRPr="0095311E" w14:paraId="471867F6" w14:textId="77777777" w:rsidTr="00487308">
        <w:trPr>
          <w:jc w:val="center"/>
        </w:trPr>
        <w:tc>
          <w:tcPr>
            <w:tcW w:w="985" w:type="dxa"/>
            <w:tcBorders>
              <w:top w:val="single" w:sz="4" w:space="0" w:color="auto"/>
              <w:left w:val="single" w:sz="4" w:space="0" w:color="auto"/>
              <w:bottom w:val="single" w:sz="4" w:space="0" w:color="auto"/>
              <w:right w:val="single" w:sz="4" w:space="0" w:color="auto"/>
            </w:tcBorders>
          </w:tcPr>
          <w:p w14:paraId="4DA4F5AC" w14:textId="053D9B21" w:rsidR="004F595D" w:rsidRPr="0095311E" w:rsidRDefault="00B028EF" w:rsidP="004F595D">
            <w:pPr>
              <w:adjustRightInd w:val="0"/>
              <w:jc w:val="center"/>
              <w:rPr>
                <w:rFonts w:asciiTheme="minorHAnsi" w:hAnsiTheme="minorHAnsi" w:cstheme="minorHAnsi"/>
              </w:rPr>
            </w:pPr>
            <w:r w:rsidRPr="0095311E">
              <w:rPr>
                <w:rFonts w:asciiTheme="minorHAnsi" w:hAnsiTheme="minorHAnsi" w:cstheme="minorHAnsi"/>
              </w:rPr>
              <w:t>8</w:t>
            </w:r>
          </w:p>
        </w:tc>
        <w:tc>
          <w:tcPr>
            <w:tcW w:w="6211" w:type="dxa"/>
            <w:tcBorders>
              <w:top w:val="single" w:sz="4" w:space="0" w:color="auto"/>
              <w:left w:val="single" w:sz="4" w:space="0" w:color="auto"/>
              <w:bottom w:val="single" w:sz="4" w:space="0" w:color="auto"/>
              <w:right w:val="single" w:sz="4" w:space="0" w:color="auto"/>
            </w:tcBorders>
          </w:tcPr>
          <w:p w14:paraId="4C719928" w14:textId="1C9E6964" w:rsidR="004F595D" w:rsidRPr="0095311E" w:rsidRDefault="004F595D" w:rsidP="004F595D">
            <w:pPr>
              <w:adjustRightInd w:val="0"/>
              <w:rPr>
                <w:rFonts w:asciiTheme="minorHAnsi" w:hAnsiTheme="minorHAnsi" w:cstheme="minorHAnsi"/>
              </w:rPr>
            </w:pPr>
            <w:r w:rsidRPr="0095311E">
              <w:rPr>
                <w:rFonts w:asciiTheme="minorHAnsi" w:hAnsiTheme="minorHAnsi" w:cstheme="minorHAnsi"/>
              </w:rPr>
              <w:t>udržateľnosť – či aktivity súvisiace s programom / projektom budú pokračovať aj po financovaní z rozpočtu AP Vojvodiny.</w:t>
            </w:r>
          </w:p>
        </w:tc>
        <w:tc>
          <w:tcPr>
            <w:tcW w:w="1016" w:type="dxa"/>
            <w:tcBorders>
              <w:top w:val="single" w:sz="4" w:space="0" w:color="auto"/>
              <w:left w:val="single" w:sz="4" w:space="0" w:color="auto"/>
              <w:bottom w:val="single" w:sz="4" w:space="0" w:color="auto"/>
              <w:right w:val="single" w:sz="4" w:space="0" w:color="auto"/>
            </w:tcBorders>
          </w:tcPr>
          <w:p w14:paraId="3D0D6CEC" w14:textId="2250663E" w:rsidR="004F595D" w:rsidRPr="0095311E" w:rsidRDefault="004F595D" w:rsidP="004F595D">
            <w:pPr>
              <w:adjustRightInd w:val="0"/>
              <w:jc w:val="center"/>
              <w:rPr>
                <w:rFonts w:asciiTheme="minorHAnsi" w:hAnsiTheme="minorHAnsi" w:cstheme="minorHAnsi"/>
              </w:rPr>
            </w:pPr>
            <w:r w:rsidRPr="0095311E">
              <w:rPr>
                <w:rFonts w:asciiTheme="minorHAnsi" w:hAnsiTheme="minorHAnsi" w:cstheme="minorHAnsi"/>
              </w:rPr>
              <w:t>0 – 10</w:t>
            </w:r>
          </w:p>
        </w:tc>
      </w:tr>
    </w:tbl>
    <w:p w14:paraId="7424D263" w14:textId="77777777" w:rsidR="00487308" w:rsidRPr="0095311E" w:rsidRDefault="00487308" w:rsidP="00487308">
      <w:pPr>
        <w:rPr>
          <w:rFonts w:asciiTheme="minorHAnsi" w:hAnsiTheme="minorHAnsi" w:cstheme="minorHAnsi"/>
          <w:bCs/>
        </w:rPr>
      </w:pPr>
    </w:p>
    <w:p w14:paraId="62103052" w14:textId="45BB62EE" w:rsidR="001A663B" w:rsidRDefault="001A663B" w:rsidP="001A663B">
      <w:pPr>
        <w:widowControl/>
        <w:autoSpaceDE/>
        <w:autoSpaceDN/>
        <w:jc w:val="center"/>
        <w:rPr>
          <w:rFonts w:asciiTheme="minorHAnsi" w:eastAsia="Times New Roman" w:hAnsiTheme="minorHAnsi" w:cstheme="minorHAnsi"/>
          <w:b/>
          <w:lang w:val="sr-Cyrl-CS"/>
        </w:rPr>
      </w:pPr>
    </w:p>
    <w:p w14:paraId="40CF2232" w14:textId="655FBAEB" w:rsidR="0095311E" w:rsidRDefault="0095311E" w:rsidP="001A663B">
      <w:pPr>
        <w:widowControl/>
        <w:autoSpaceDE/>
        <w:autoSpaceDN/>
        <w:jc w:val="center"/>
        <w:rPr>
          <w:rFonts w:asciiTheme="minorHAnsi" w:eastAsia="Times New Roman" w:hAnsiTheme="minorHAnsi" w:cstheme="minorHAnsi"/>
          <w:b/>
          <w:lang w:val="sr-Cyrl-CS"/>
        </w:rPr>
      </w:pPr>
    </w:p>
    <w:p w14:paraId="2492B2A6" w14:textId="2ADC45A6" w:rsidR="0095311E" w:rsidRDefault="0095311E" w:rsidP="001A663B">
      <w:pPr>
        <w:widowControl/>
        <w:autoSpaceDE/>
        <w:autoSpaceDN/>
        <w:jc w:val="center"/>
        <w:rPr>
          <w:rFonts w:asciiTheme="minorHAnsi" w:eastAsia="Times New Roman" w:hAnsiTheme="minorHAnsi" w:cstheme="minorHAnsi"/>
          <w:b/>
          <w:lang w:val="sr-Cyrl-CS"/>
        </w:rPr>
      </w:pPr>
    </w:p>
    <w:p w14:paraId="5F68C5BF" w14:textId="77777777" w:rsidR="0095311E" w:rsidRPr="0095311E" w:rsidRDefault="0095311E" w:rsidP="001A663B">
      <w:pPr>
        <w:widowControl/>
        <w:autoSpaceDE/>
        <w:autoSpaceDN/>
        <w:jc w:val="center"/>
        <w:rPr>
          <w:rFonts w:asciiTheme="minorHAnsi" w:eastAsia="Times New Roman" w:hAnsiTheme="minorHAnsi" w:cstheme="minorHAnsi"/>
          <w:b/>
          <w:lang w:val="sr-Cyrl-CS"/>
        </w:rPr>
      </w:pPr>
    </w:p>
    <w:p w14:paraId="37497E23" w14:textId="0AAE76CC" w:rsidR="001A663B" w:rsidRPr="0095311E" w:rsidRDefault="001A663B" w:rsidP="001A663B">
      <w:pPr>
        <w:widowControl/>
        <w:autoSpaceDE/>
        <w:autoSpaceDN/>
        <w:jc w:val="center"/>
        <w:rPr>
          <w:rFonts w:asciiTheme="minorHAnsi" w:eastAsia="Times New Roman" w:hAnsiTheme="minorHAnsi" w:cstheme="minorHAnsi"/>
          <w:b/>
        </w:rPr>
      </w:pPr>
      <w:r w:rsidRPr="0095311E">
        <w:rPr>
          <w:rFonts w:asciiTheme="minorHAnsi" w:hAnsiTheme="minorHAnsi" w:cstheme="minorHAnsi"/>
          <w:b/>
        </w:rPr>
        <w:t>Rozhodovanie o pridelení prostriedkov súbehu</w:t>
      </w:r>
    </w:p>
    <w:p w14:paraId="10C13CE5" w14:textId="0FCF5326" w:rsidR="00F83D63" w:rsidRPr="0095311E" w:rsidRDefault="00F83D63" w:rsidP="00F83D63">
      <w:pPr>
        <w:widowControl/>
        <w:autoSpaceDE/>
        <w:autoSpaceDN/>
        <w:jc w:val="center"/>
        <w:rPr>
          <w:rFonts w:asciiTheme="minorHAnsi" w:hAnsiTheme="minorHAnsi" w:cstheme="minorHAnsi"/>
        </w:rPr>
      </w:pPr>
      <w:r w:rsidRPr="0095311E">
        <w:rPr>
          <w:rFonts w:asciiTheme="minorHAnsi" w:hAnsiTheme="minorHAnsi" w:cstheme="minorHAnsi"/>
        </w:rPr>
        <w:t>Článok 8</w:t>
      </w:r>
    </w:p>
    <w:p w14:paraId="6049D05E" w14:textId="77777777" w:rsidR="00F83D63" w:rsidRPr="0095311E" w:rsidRDefault="00F83D63" w:rsidP="00F83D63">
      <w:pPr>
        <w:widowControl/>
        <w:tabs>
          <w:tab w:val="left" w:pos="720"/>
        </w:tabs>
        <w:autoSpaceDE/>
        <w:autoSpaceDN/>
        <w:jc w:val="both"/>
        <w:rPr>
          <w:rFonts w:asciiTheme="minorHAnsi" w:hAnsiTheme="minorHAnsi" w:cstheme="minorHAnsi"/>
        </w:rPr>
      </w:pPr>
    </w:p>
    <w:p w14:paraId="3C52FA93" w14:textId="7F0085C6" w:rsidR="00F83D63" w:rsidRPr="0095311E" w:rsidRDefault="00386704" w:rsidP="00F83D63">
      <w:pPr>
        <w:ind w:firstLine="851"/>
        <w:jc w:val="both"/>
        <w:rPr>
          <w:rFonts w:asciiTheme="minorHAnsi" w:hAnsiTheme="minorHAnsi" w:cstheme="minorHAnsi"/>
        </w:rPr>
      </w:pPr>
      <w:r w:rsidRPr="0095311E">
        <w:rPr>
          <w:rFonts w:asciiTheme="minorHAnsi" w:hAnsiTheme="minorHAnsi" w:cstheme="minorHAnsi"/>
        </w:rPr>
        <w:t xml:space="preserve">V súlade s kritériami stanovenými v súbehu a pravidlách komisia zostaví poradovník žiadateľov s návrhom na rozdelenie finančných prostriedkov plánovaných pre súbeh. </w:t>
      </w:r>
    </w:p>
    <w:p w14:paraId="13A45CBE" w14:textId="70300B4F" w:rsidR="00F83D63" w:rsidRPr="0095311E" w:rsidRDefault="00F83D63" w:rsidP="00F83D63">
      <w:pPr>
        <w:ind w:firstLine="851"/>
        <w:jc w:val="both"/>
        <w:rPr>
          <w:rFonts w:asciiTheme="minorHAnsi" w:hAnsiTheme="minorHAnsi" w:cstheme="minorHAnsi"/>
        </w:rPr>
      </w:pPr>
      <w:r w:rsidRPr="0095311E">
        <w:rPr>
          <w:rFonts w:asciiTheme="minorHAnsi" w:hAnsiTheme="minorHAnsi" w:cstheme="minorHAnsi"/>
        </w:rPr>
        <w:t>Komisia je povinná v lehote, ktorá nesmie presiahnuť 60 dní odo dňa uplynutia lehoty na podávanie prihlášok, vypracovať návrh na rozdelenie finančných prostriedkov a predložiť ho spolu s poradovníkom na rozhodovanie pokrajinskému tajomníkovi.</w:t>
      </w:r>
    </w:p>
    <w:p w14:paraId="01388E46" w14:textId="5A24AB36" w:rsidR="00F83D63" w:rsidRPr="0095311E" w:rsidRDefault="00F83D63" w:rsidP="00F83D63">
      <w:pPr>
        <w:ind w:firstLine="851"/>
        <w:jc w:val="both"/>
        <w:rPr>
          <w:rFonts w:asciiTheme="minorHAnsi" w:hAnsiTheme="minorHAnsi" w:cstheme="minorHAnsi"/>
        </w:rPr>
      </w:pPr>
    </w:p>
    <w:p w14:paraId="043CDCD6" w14:textId="7D306087" w:rsidR="00487308" w:rsidRPr="0095311E" w:rsidRDefault="00487308" w:rsidP="00487308">
      <w:pPr>
        <w:spacing w:line="228" w:lineRule="auto"/>
        <w:ind w:left="113" w:right="118" w:firstLine="355"/>
        <w:jc w:val="center"/>
        <w:rPr>
          <w:rFonts w:asciiTheme="minorHAnsi" w:eastAsia="Times New Roman" w:hAnsiTheme="minorHAnsi" w:cstheme="minorHAnsi"/>
        </w:rPr>
      </w:pPr>
      <w:r w:rsidRPr="0095311E">
        <w:rPr>
          <w:rFonts w:asciiTheme="minorHAnsi" w:hAnsiTheme="minorHAnsi" w:cstheme="minorHAnsi"/>
        </w:rPr>
        <w:t>Článok 9</w:t>
      </w:r>
    </w:p>
    <w:p w14:paraId="2DF0AF1F" w14:textId="77777777" w:rsidR="00487308" w:rsidRPr="0095311E" w:rsidRDefault="00487308" w:rsidP="00487308">
      <w:pPr>
        <w:spacing w:before="11"/>
        <w:rPr>
          <w:rFonts w:asciiTheme="minorHAnsi" w:hAnsiTheme="minorHAnsi" w:cstheme="minorHAnsi"/>
        </w:rPr>
      </w:pPr>
    </w:p>
    <w:p w14:paraId="4CE704DE" w14:textId="77777777" w:rsidR="000212A0" w:rsidRPr="0095311E" w:rsidRDefault="00487308" w:rsidP="000212A0">
      <w:pPr>
        <w:ind w:firstLine="468"/>
        <w:jc w:val="both"/>
        <w:rPr>
          <w:rFonts w:asciiTheme="minorHAnsi" w:hAnsiTheme="minorHAnsi" w:cstheme="minorHAnsi"/>
        </w:rPr>
      </w:pPr>
      <w:r w:rsidRPr="0095311E">
        <w:rPr>
          <w:rFonts w:asciiTheme="minorHAnsi" w:hAnsiTheme="minorHAnsi" w:cstheme="minorHAnsi"/>
        </w:rPr>
        <w:t>Pokrajinský tajomník posúdi návrh komisie s poradovým zoznamom a rozhodne o rozvrhnutí finančných prostriedkov prijímateľom rozhodnutím, a to do 30 dní odo dňa predloženia návrhu komisie na pridelenie finančných prostriedkov.</w:t>
      </w:r>
    </w:p>
    <w:p w14:paraId="5BBA74E7" w14:textId="77777777" w:rsidR="00487308" w:rsidRPr="0095311E" w:rsidRDefault="00487308" w:rsidP="00487308">
      <w:pPr>
        <w:ind w:firstLine="468"/>
        <w:rPr>
          <w:rFonts w:asciiTheme="minorHAnsi" w:hAnsiTheme="minorHAnsi" w:cstheme="minorHAnsi"/>
        </w:rPr>
      </w:pPr>
      <w:r w:rsidRPr="0095311E">
        <w:rPr>
          <w:rFonts w:asciiTheme="minorHAnsi" w:hAnsiTheme="minorHAnsi" w:cstheme="minorHAnsi"/>
        </w:rPr>
        <w:t>Rozhodnutie uvedené v odseku 1 tohto článku je konečné.</w:t>
      </w:r>
    </w:p>
    <w:p w14:paraId="1B23AC05" w14:textId="77777777" w:rsidR="00487308" w:rsidRPr="0095311E" w:rsidRDefault="00487308" w:rsidP="0095311E">
      <w:pPr>
        <w:ind w:firstLine="468"/>
        <w:jc w:val="both"/>
        <w:rPr>
          <w:rFonts w:asciiTheme="minorHAnsi" w:hAnsiTheme="minorHAnsi" w:cstheme="minorHAnsi"/>
        </w:rPr>
      </w:pPr>
      <w:r w:rsidRPr="0095311E">
        <w:rPr>
          <w:rFonts w:asciiTheme="minorHAnsi" w:hAnsiTheme="minorHAnsi" w:cstheme="minorHAnsi"/>
        </w:rPr>
        <w:t>Rozhodnutie uvedené v odseku 1 tohto článku s tabuľkovým prehľadom obsahujúcim informácie o pridelení finančných prostriedkov sa uverejní na webovom sídle pokrajinského sekretariátu.</w:t>
      </w:r>
    </w:p>
    <w:p w14:paraId="40FA86F7" w14:textId="23F4009C" w:rsidR="00BB7689" w:rsidRPr="0095311E" w:rsidRDefault="00BB7689" w:rsidP="006E728C">
      <w:pPr>
        <w:pStyle w:val="BodyText"/>
        <w:spacing w:line="230" w:lineRule="auto"/>
        <w:ind w:left="113" w:right="118" w:firstLine="355"/>
        <w:jc w:val="center"/>
        <w:rPr>
          <w:rFonts w:asciiTheme="minorHAnsi" w:eastAsia="Times New Roman" w:hAnsiTheme="minorHAnsi" w:cstheme="minorHAnsi"/>
          <w:b/>
          <w:sz w:val="22"/>
          <w:szCs w:val="22"/>
        </w:rPr>
      </w:pPr>
    </w:p>
    <w:p w14:paraId="6903546A" w14:textId="7B8BE5C4" w:rsidR="00306291" w:rsidRPr="0095311E" w:rsidRDefault="00306291" w:rsidP="006E728C">
      <w:pPr>
        <w:pStyle w:val="BodyText"/>
        <w:spacing w:line="230" w:lineRule="auto"/>
        <w:ind w:left="113" w:right="118" w:firstLine="355"/>
        <w:jc w:val="center"/>
        <w:rPr>
          <w:rFonts w:asciiTheme="minorHAnsi" w:eastAsia="Times New Roman" w:hAnsiTheme="minorHAnsi" w:cstheme="minorHAnsi"/>
          <w:b/>
          <w:sz w:val="22"/>
          <w:szCs w:val="22"/>
        </w:rPr>
      </w:pPr>
      <w:r w:rsidRPr="0095311E">
        <w:rPr>
          <w:rFonts w:asciiTheme="minorHAnsi" w:hAnsiTheme="minorHAnsi" w:cstheme="minorHAnsi"/>
          <w:b/>
          <w:sz w:val="22"/>
          <w:szCs w:val="22"/>
        </w:rPr>
        <w:t>Uzavieranie zmlúv</w:t>
      </w:r>
    </w:p>
    <w:p w14:paraId="0639B39E" w14:textId="4C546503" w:rsidR="009E6661" w:rsidRPr="0095311E" w:rsidRDefault="00077BF8" w:rsidP="006E728C">
      <w:pPr>
        <w:pStyle w:val="BodyText"/>
        <w:spacing w:line="230" w:lineRule="auto"/>
        <w:ind w:left="113" w:right="118" w:firstLine="355"/>
        <w:jc w:val="center"/>
        <w:rPr>
          <w:rFonts w:asciiTheme="minorHAnsi" w:eastAsia="Times New Roman" w:hAnsiTheme="minorHAnsi" w:cstheme="minorHAnsi"/>
          <w:sz w:val="22"/>
          <w:szCs w:val="22"/>
        </w:rPr>
      </w:pPr>
      <w:r w:rsidRPr="0095311E">
        <w:rPr>
          <w:rFonts w:asciiTheme="minorHAnsi" w:hAnsiTheme="minorHAnsi" w:cstheme="minorHAnsi"/>
          <w:sz w:val="22"/>
          <w:szCs w:val="22"/>
        </w:rPr>
        <w:t>Článok 10</w:t>
      </w:r>
    </w:p>
    <w:p w14:paraId="6EAC6FF7" w14:textId="77777777" w:rsidR="009E6661" w:rsidRPr="0095311E" w:rsidRDefault="009E6661" w:rsidP="006E728C">
      <w:pPr>
        <w:rPr>
          <w:rFonts w:asciiTheme="minorHAnsi" w:hAnsiTheme="minorHAnsi" w:cstheme="minorHAnsi"/>
        </w:rPr>
      </w:pPr>
    </w:p>
    <w:p w14:paraId="68504014" w14:textId="77777777" w:rsidR="009E6661" w:rsidRPr="0095311E" w:rsidRDefault="00077BF8" w:rsidP="00857520">
      <w:pPr>
        <w:ind w:firstLine="464"/>
        <w:jc w:val="both"/>
        <w:rPr>
          <w:rFonts w:asciiTheme="minorHAnsi" w:hAnsiTheme="minorHAnsi" w:cstheme="minorHAnsi"/>
        </w:rPr>
      </w:pPr>
      <w:r w:rsidRPr="0095311E">
        <w:rPr>
          <w:rFonts w:asciiTheme="minorHAnsi" w:hAnsiTheme="minorHAnsi" w:cstheme="minorHAnsi"/>
        </w:rPr>
        <w:t>Pokrajinský sekretariát preberá povinnosť prideľovať finančné prostriedky na základe zmluvy a v zmysle zákona, ktorým sa upravuje rozpočtový systém.</w:t>
      </w:r>
    </w:p>
    <w:p w14:paraId="0A7FE3BE" w14:textId="62C827C7" w:rsidR="0095311E" w:rsidRDefault="0095311E" w:rsidP="001A663B">
      <w:pPr>
        <w:ind w:firstLine="464"/>
        <w:jc w:val="center"/>
        <w:rPr>
          <w:rFonts w:asciiTheme="minorHAnsi" w:hAnsiTheme="minorHAnsi" w:cstheme="minorHAnsi"/>
          <w:b/>
        </w:rPr>
      </w:pPr>
    </w:p>
    <w:p w14:paraId="593D6BEC" w14:textId="41F260FF" w:rsidR="001A663B" w:rsidRPr="0095311E" w:rsidRDefault="001A663B" w:rsidP="001A663B">
      <w:pPr>
        <w:ind w:firstLine="464"/>
        <w:jc w:val="center"/>
        <w:rPr>
          <w:rFonts w:asciiTheme="minorHAnsi" w:hAnsiTheme="minorHAnsi" w:cstheme="minorHAnsi"/>
          <w:b/>
        </w:rPr>
      </w:pPr>
      <w:r w:rsidRPr="0095311E">
        <w:rPr>
          <w:rFonts w:asciiTheme="minorHAnsi" w:hAnsiTheme="minorHAnsi" w:cstheme="minorHAnsi"/>
          <w:b/>
        </w:rPr>
        <w:t>Vyplatenie pridelených prostriedkov</w:t>
      </w:r>
    </w:p>
    <w:p w14:paraId="6675641E" w14:textId="203DA516" w:rsidR="001A663B" w:rsidRPr="0095311E" w:rsidRDefault="001A663B" w:rsidP="001A663B">
      <w:pPr>
        <w:ind w:firstLine="464"/>
        <w:jc w:val="center"/>
        <w:rPr>
          <w:rFonts w:asciiTheme="minorHAnsi" w:hAnsiTheme="minorHAnsi" w:cstheme="minorHAnsi"/>
        </w:rPr>
      </w:pPr>
      <w:r w:rsidRPr="0095311E">
        <w:rPr>
          <w:rFonts w:asciiTheme="minorHAnsi" w:hAnsiTheme="minorHAnsi" w:cstheme="minorHAnsi"/>
        </w:rPr>
        <w:t>Článok 11</w:t>
      </w:r>
    </w:p>
    <w:p w14:paraId="408EC637" w14:textId="77777777" w:rsidR="001A663B" w:rsidRPr="0095311E" w:rsidRDefault="001A663B" w:rsidP="001A663B">
      <w:pPr>
        <w:ind w:firstLine="464"/>
        <w:jc w:val="both"/>
        <w:rPr>
          <w:rFonts w:asciiTheme="minorHAnsi" w:hAnsiTheme="minorHAnsi" w:cstheme="minorHAnsi"/>
        </w:rPr>
      </w:pPr>
    </w:p>
    <w:p w14:paraId="5317B551" w14:textId="225D9731" w:rsidR="000212A0" w:rsidRPr="0095311E" w:rsidRDefault="001A663B" w:rsidP="000212A0">
      <w:pPr>
        <w:spacing w:line="100" w:lineRule="atLeast"/>
        <w:ind w:left="-284" w:right="-431" w:firstLine="283"/>
        <w:jc w:val="both"/>
        <w:rPr>
          <w:rFonts w:asciiTheme="minorHAnsi" w:hAnsiTheme="minorHAnsi" w:cstheme="minorHAnsi"/>
          <w:bCs/>
        </w:rPr>
      </w:pPr>
      <w:r w:rsidRPr="0095311E">
        <w:rPr>
          <w:rFonts w:asciiTheme="minorHAnsi" w:hAnsiTheme="minorHAnsi" w:cstheme="minorHAnsi"/>
          <w:bCs/>
        </w:rPr>
        <w:t xml:space="preserve">Pridelené prostriedky sa vyplácajú po uzavretí zmluvy a na základe individuálnych platobných rozhodnutí v súlade s dynamikou prílevu prostriedkov do rozpočtu AP Vojvodiny. </w:t>
      </w:r>
    </w:p>
    <w:p w14:paraId="4F93D185" w14:textId="2A4B08B2" w:rsidR="000212A0" w:rsidRPr="0095311E" w:rsidRDefault="000212A0" w:rsidP="000212A0">
      <w:pPr>
        <w:spacing w:line="100" w:lineRule="atLeast"/>
        <w:ind w:left="-284" w:right="-431" w:firstLine="283"/>
        <w:jc w:val="both"/>
        <w:rPr>
          <w:rFonts w:asciiTheme="minorHAnsi" w:hAnsiTheme="minorHAnsi" w:cstheme="minorHAnsi"/>
          <w:bCs/>
        </w:rPr>
      </w:pPr>
      <w:r w:rsidRPr="0095311E">
        <w:rPr>
          <w:rFonts w:asciiTheme="minorHAnsi" w:hAnsiTheme="minorHAnsi" w:cstheme="minorHAnsi"/>
          <w:bCs/>
        </w:rPr>
        <w:t>Ak prijímateľ prostriedkov nepodpíše zmluvu v lehote určenej sekretariátom, bude sa považovať, že odstúpil od podanej prihlášky.</w:t>
      </w:r>
    </w:p>
    <w:p w14:paraId="74D9C723" w14:textId="77777777" w:rsidR="000212A0" w:rsidRPr="0095311E" w:rsidRDefault="000212A0" w:rsidP="000212A0">
      <w:pPr>
        <w:spacing w:line="100" w:lineRule="atLeast"/>
        <w:ind w:left="-284" w:right="-431" w:firstLine="283"/>
        <w:jc w:val="both"/>
        <w:rPr>
          <w:rFonts w:asciiTheme="minorHAnsi" w:hAnsiTheme="minorHAnsi" w:cstheme="minorHAnsi"/>
          <w:bCs/>
        </w:rPr>
      </w:pPr>
      <w:r w:rsidRPr="0095311E">
        <w:rPr>
          <w:rFonts w:asciiTheme="minorHAnsi" w:hAnsiTheme="minorHAnsi" w:cstheme="minorHAnsi"/>
          <w:bCs/>
        </w:rPr>
        <w:t>V prípade, že z dôvodov, ktoré sekretariát nemôže ovplyvniť, nebude možné previesť pridelené finančné prostriedky na účty žiadateľa, sekretariát má právo zmluvu zrušiť.</w:t>
      </w:r>
    </w:p>
    <w:p w14:paraId="4123F7F1" w14:textId="33AAE598" w:rsidR="00F83D63" w:rsidRPr="0095311E" w:rsidRDefault="00F83D63" w:rsidP="00857520">
      <w:pPr>
        <w:ind w:firstLine="464"/>
        <w:jc w:val="both"/>
        <w:rPr>
          <w:rFonts w:asciiTheme="minorHAnsi" w:hAnsiTheme="minorHAnsi" w:cstheme="minorHAnsi"/>
        </w:rPr>
      </w:pPr>
    </w:p>
    <w:p w14:paraId="7995438C" w14:textId="77777777" w:rsidR="00F83D63" w:rsidRPr="0095311E" w:rsidRDefault="00F83D63" w:rsidP="00F83D63">
      <w:pPr>
        <w:pStyle w:val="BodyText"/>
        <w:spacing w:line="230" w:lineRule="auto"/>
        <w:ind w:left="113" w:right="118" w:firstLine="355"/>
        <w:jc w:val="center"/>
        <w:rPr>
          <w:rFonts w:asciiTheme="minorHAnsi" w:hAnsiTheme="minorHAnsi" w:cstheme="minorHAnsi"/>
          <w:b/>
          <w:sz w:val="22"/>
          <w:szCs w:val="22"/>
        </w:rPr>
      </w:pPr>
      <w:r w:rsidRPr="0095311E">
        <w:rPr>
          <w:rFonts w:asciiTheme="minorHAnsi" w:hAnsiTheme="minorHAnsi" w:cstheme="minorHAnsi"/>
          <w:b/>
          <w:sz w:val="22"/>
          <w:szCs w:val="22"/>
        </w:rPr>
        <w:t>Použitie pridelených finančných prostriedkov a povinnosti prijímateľov finančných prostriedkov</w:t>
      </w:r>
    </w:p>
    <w:p w14:paraId="6E4D5475" w14:textId="6B5813CE" w:rsidR="00F83D63" w:rsidRPr="0095311E" w:rsidRDefault="00F83D63" w:rsidP="00F83D63">
      <w:pPr>
        <w:pStyle w:val="BodyText"/>
        <w:spacing w:line="230" w:lineRule="auto"/>
        <w:ind w:left="113" w:right="118" w:firstLine="355"/>
        <w:jc w:val="center"/>
        <w:rPr>
          <w:rFonts w:asciiTheme="minorHAnsi" w:eastAsia="Times New Roman" w:hAnsiTheme="minorHAnsi" w:cstheme="minorHAnsi"/>
          <w:sz w:val="22"/>
          <w:szCs w:val="22"/>
        </w:rPr>
      </w:pPr>
      <w:r w:rsidRPr="0095311E">
        <w:rPr>
          <w:rFonts w:asciiTheme="minorHAnsi" w:hAnsiTheme="minorHAnsi" w:cstheme="minorHAnsi"/>
          <w:sz w:val="22"/>
          <w:szCs w:val="22"/>
        </w:rPr>
        <w:t>Článok 12</w:t>
      </w:r>
    </w:p>
    <w:p w14:paraId="27ADFD6C" w14:textId="77777777" w:rsidR="00F83D63" w:rsidRPr="0095311E" w:rsidRDefault="00F83D63" w:rsidP="00F83D63">
      <w:pPr>
        <w:rPr>
          <w:rFonts w:asciiTheme="minorHAnsi" w:hAnsiTheme="minorHAnsi" w:cstheme="minorHAnsi"/>
        </w:rPr>
      </w:pPr>
    </w:p>
    <w:p w14:paraId="58DFE7E2" w14:textId="77777777" w:rsidR="00F83D63" w:rsidRPr="0095311E" w:rsidRDefault="00F83D63" w:rsidP="00F83D63">
      <w:pPr>
        <w:ind w:firstLine="468"/>
        <w:jc w:val="both"/>
        <w:rPr>
          <w:rFonts w:asciiTheme="minorHAnsi" w:hAnsiTheme="minorHAnsi" w:cstheme="minorHAnsi"/>
        </w:rPr>
      </w:pPr>
      <w:r w:rsidRPr="0095311E">
        <w:rPr>
          <w:rFonts w:asciiTheme="minorHAnsi" w:hAnsiTheme="minorHAnsi" w:cstheme="minorHAnsi"/>
        </w:rPr>
        <w:t>Používateľ je povinný použiť pridelené finančné prostriedky zákonným a účelovým spôsobom a nevyčerpané finančné prostriedky vrátiť do rozpočtu AP Vojvodiny.</w:t>
      </w:r>
    </w:p>
    <w:p w14:paraId="20CFA62A" w14:textId="77777777" w:rsidR="00F83D63" w:rsidRPr="0095311E" w:rsidRDefault="00F83D63" w:rsidP="00F83D63">
      <w:pPr>
        <w:ind w:firstLine="468"/>
        <w:jc w:val="both"/>
        <w:rPr>
          <w:rFonts w:asciiTheme="minorHAnsi" w:hAnsiTheme="minorHAnsi" w:cstheme="minorHAnsi"/>
        </w:rPr>
      </w:pPr>
      <w:r w:rsidRPr="0095311E">
        <w:rPr>
          <w:rFonts w:asciiTheme="minorHAnsi" w:hAnsiTheme="minorHAnsi" w:cstheme="minorHAnsi"/>
        </w:rPr>
        <w:t>Používateľ prostriedkov je povinný podať správu o používaní prostriedkov najneskôr v lehote 15 (pätnásť) dní po lehote určenej na realizáciu účelu, na aký sú prostriedky pridelené vrátane zodpovedajúcej dokumentácie, ktorú overili zodpovedné osoby.</w:t>
      </w:r>
    </w:p>
    <w:p w14:paraId="592663A9" w14:textId="77777777" w:rsidR="00F83D63" w:rsidRPr="0095311E" w:rsidRDefault="00F83D63" w:rsidP="00F83D63">
      <w:pPr>
        <w:ind w:firstLine="468"/>
        <w:jc w:val="both"/>
        <w:rPr>
          <w:rFonts w:asciiTheme="minorHAnsi" w:hAnsiTheme="minorHAnsi" w:cstheme="minorHAnsi"/>
        </w:rPr>
      </w:pPr>
      <w:r w:rsidRPr="0095311E">
        <w:rPr>
          <w:rFonts w:asciiTheme="minorHAnsi" w:hAnsiTheme="minorHAnsi" w:cstheme="minorHAnsi"/>
        </w:rPr>
        <w:t>Používateľ je povinný vrátiť prijaté prostriedky do rozpočtu AP Vojvodiny, ak sa zistí, že prostriedky nie sú použité na realizáciu účelu, na ktorý boli pridelené.</w:t>
      </w:r>
    </w:p>
    <w:p w14:paraId="30CA3265" w14:textId="77777777" w:rsidR="00F83D63" w:rsidRPr="0095311E" w:rsidRDefault="00F83D63" w:rsidP="00F83D63">
      <w:pPr>
        <w:ind w:firstLine="468"/>
        <w:jc w:val="both"/>
        <w:rPr>
          <w:rFonts w:asciiTheme="minorHAnsi" w:hAnsiTheme="minorHAnsi" w:cstheme="minorHAnsi"/>
        </w:rPr>
      </w:pPr>
      <w:r w:rsidRPr="0095311E">
        <w:rPr>
          <w:rFonts w:asciiTheme="minorHAnsi" w:hAnsiTheme="minorHAnsi" w:cstheme="minorHAnsi"/>
        </w:rPr>
        <w:t>Ak príjemca nepredloží správu uvedenú v odseku 2 tohto článku, stráca právo súťažiť o pridelenie finančných prostriedkov s novým programom alebo projektom.</w:t>
      </w:r>
    </w:p>
    <w:p w14:paraId="57FC2B06" w14:textId="77777777" w:rsidR="00F83D63" w:rsidRPr="0095311E" w:rsidRDefault="00F83D63" w:rsidP="00F83D63">
      <w:pPr>
        <w:ind w:firstLine="450"/>
        <w:jc w:val="both"/>
        <w:rPr>
          <w:rFonts w:asciiTheme="minorHAnsi" w:hAnsiTheme="minorHAnsi" w:cstheme="minorHAnsi"/>
        </w:rPr>
      </w:pPr>
      <w:r w:rsidRPr="0095311E">
        <w:rPr>
          <w:rFonts w:asciiTheme="minorHAnsi" w:hAnsiTheme="minorHAnsi" w:cstheme="minorHAnsi"/>
        </w:rPr>
        <w:t>V prípade pochybností o tom, že pridelené finančné prostriedky neboli účelovo použité, pokrajinský sekretariát začne konanie pred príslušnou rozpočtovou inšpekciou, aby kontroloval účel a zákonné využitie finančných prostriedkov.</w:t>
      </w:r>
    </w:p>
    <w:p w14:paraId="6BFB0729" w14:textId="3E36CC10" w:rsidR="00473CA2" w:rsidRDefault="00473CA2" w:rsidP="00473CA2">
      <w:pPr>
        <w:widowControl/>
        <w:autoSpaceDE/>
        <w:autoSpaceDN/>
        <w:rPr>
          <w:rFonts w:asciiTheme="minorHAnsi" w:hAnsiTheme="minorHAnsi" w:cstheme="minorHAnsi"/>
          <w:lang w:val="sr-Latn-RS"/>
        </w:rPr>
      </w:pPr>
    </w:p>
    <w:p w14:paraId="573F6577" w14:textId="77777777" w:rsidR="0095311E" w:rsidRPr="0095311E" w:rsidRDefault="0095311E" w:rsidP="00473CA2">
      <w:pPr>
        <w:widowControl/>
        <w:autoSpaceDE/>
        <w:autoSpaceDN/>
        <w:rPr>
          <w:rFonts w:asciiTheme="minorHAnsi" w:hAnsiTheme="minorHAnsi" w:cstheme="minorHAnsi"/>
          <w:lang w:val="sr-Latn-RS"/>
        </w:rPr>
      </w:pPr>
    </w:p>
    <w:p w14:paraId="1896D3B3" w14:textId="77777777" w:rsidR="00F83D63" w:rsidRPr="0095311E" w:rsidRDefault="00F83D63" w:rsidP="00F83D63">
      <w:pPr>
        <w:widowControl/>
        <w:shd w:val="clear" w:color="auto" w:fill="FFFFFF"/>
        <w:autoSpaceDE/>
        <w:autoSpaceDN/>
        <w:spacing w:after="120"/>
        <w:ind w:firstLine="480"/>
        <w:jc w:val="center"/>
        <w:rPr>
          <w:rFonts w:asciiTheme="minorHAnsi" w:hAnsiTheme="minorHAnsi" w:cstheme="minorHAnsi"/>
          <w:b/>
          <w:bCs/>
        </w:rPr>
      </w:pPr>
      <w:r w:rsidRPr="0095311E">
        <w:rPr>
          <w:rFonts w:asciiTheme="minorHAnsi" w:hAnsiTheme="minorHAnsi" w:cstheme="minorHAnsi"/>
          <w:b/>
          <w:bCs/>
        </w:rPr>
        <w:t>Sledovanie realizácie</w:t>
      </w:r>
    </w:p>
    <w:p w14:paraId="3D77F81B" w14:textId="7D34D9E1" w:rsidR="00487308" w:rsidRPr="0095311E" w:rsidRDefault="00F83D63" w:rsidP="00473CA2">
      <w:pPr>
        <w:widowControl/>
        <w:shd w:val="clear" w:color="auto" w:fill="FFFFFF"/>
        <w:autoSpaceDE/>
        <w:autoSpaceDN/>
        <w:spacing w:after="120"/>
        <w:ind w:firstLine="480"/>
        <w:jc w:val="center"/>
        <w:rPr>
          <w:rFonts w:asciiTheme="minorHAnsi" w:hAnsiTheme="minorHAnsi" w:cstheme="minorHAnsi"/>
        </w:rPr>
      </w:pPr>
      <w:r w:rsidRPr="0095311E">
        <w:rPr>
          <w:rFonts w:asciiTheme="minorHAnsi" w:hAnsiTheme="minorHAnsi" w:cstheme="minorHAnsi"/>
        </w:rPr>
        <w:lastRenderedPageBreak/>
        <w:t>Článok 13</w:t>
      </w:r>
    </w:p>
    <w:p w14:paraId="0F8BFEF3" w14:textId="77777777" w:rsidR="00B94B6F" w:rsidRPr="0095311E" w:rsidRDefault="00B94B6F" w:rsidP="00B94B6F">
      <w:pPr>
        <w:jc w:val="both"/>
        <w:rPr>
          <w:rFonts w:asciiTheme="minorHAnsi" w:hAnsiTheme="minorHAnsi" w:cstheme="minorHAnsi"/>
          <w:b/>
          <w:lang w:val="ru-RU"/>
        </w:rPr>
      </w:pPr>
    </w:p>
    <w:p w14:paraId="5ABF3241" w14:textId="77777777" w:rsidR="00B94B6F" w:rsidRPr="0095311E" w:rsidRDefault="00B94B6F" w:rsidP="00B94B6F">
      <w:pPr>
        <w:shd w:val="clear" w:color="auto" w:fill="FFFFFF"/>
        <w:ind w:firstLine="284"/>
        <w:jc w:val="both"/>
        <w:rPr>
          <w:rFonts w:asciiTheme="minorHAnsi" w:hAnsiTheme="minorHAnsi" w:cstheme="minorHAnsi"/>
        </w:rPr>
      </w:pPr>
      <w:r w:rsidRPr="0095311E">
        <w:rPr>
          <w:rFonts w:asciiTheme="minorHAnsi" w:hAnsiTheme="minorHAnsi" w:cstheme="minorHAnsi"/>
        </w:rPr>
        <w:t>Sekretariát monitoruje realizáciu programu alebo projektu, na ktorý boli schválené finančné prostriedky.</w:t>
      </w:r>
    </w:p>
    <w:p w14:paraId="73F7CD37" w14:textId="77777777" w:rsidR="00B94B6F" w:rsidRPr="0095311E" w:rsidRDefault="00B94B6F" w:rsidP="00B94B6F">
      <w:pPr>
        <w:shd w:val="clear" w:color="auto" w:fill="FFFFFF"/>
        <w:jc w:val="both"/>
        <w:rPr>
          <w:rFonts w:asciiTheme="minorHAnsi" w:hAnsiTheme="minorHAnsi" w:cstheme="minorHAnsi"/>
        </w:rPr>
      </w:pPr>
      <w:r w:rsidRPr="0095311E">
        <w:rPr>
          <w:rFonts w:asciiTheme="minorHAnsi" w:hAnsiTheme="minorHAnsi" w:cstheme="minorHAnsi"/>
        </w:rPr>
        <w:t>Sledovanie realizácie zahŕňa:</w:t>
      </w:r>
    </w:p>
    <w:p w14:paraId="04889C83" w14:textId="77777777" w:rsidR="00B94B6F" w:rsidRPr="0095311E" w:rsidRDefault="00B94B6F" w:rsidP="00B94B6F">
      <w:pPr>
        <w:pStyle w:val="ListParagraph"/>
        <w:widowControl/>
        <w:numPr>
          <w:ilvl w:val="0"/>
          <w:numId w:val="6"/>
        </w:numPr>
        <w:shd w:val="clear" w:color="auto" w:fill="FFFFFF"/>
        <w:autoSpaceDE/>
        <w:autoSpaceDN/>
        <w:contextualSpacing/>
        <w:jc w:val="both"/>
        <w:rPr>
          <w:rFonts w:asciiTheme="minorHAnsi" w:hAnsiTheme="minorHAnsi" w:cstheme="minorHAnsi"/>
        </w:rPr>
      </w:pPr>
      <w:r w:rsidRPr="0095311E">
        <w:rPr>
          <w:rFonts w:asciiTheme="minorHAnsi" w:hAnsiTheme="minorHAnsi" w:cstheme="minorHAnsi"/>
        </w:rPr>
        <w:t>povinnosť podávateľa prihlášky informovať sekretariát o realizácii účelu finančných prostriedkov v termínoch uvedených v zmluve;</w:t>
      </w:r>
    </w:p>
    <w:p w14:paraId="07E905DD" w14:textId="77777777" w:rsidR="00B94B6F" w:rsidRPr="0095311E" w:rsidRDefault="00B94B6F" w:rsidP="00B94B6F">
      <w:pPr>
        <w:pStyle w:val="ListParagraph"/>
        <w:widowControl/>
        <w:numPr>
          <w:ilvl w:val="0"/>
          <w:numId w:val="6"/>
        </w:numPr>
        <w:shd w:val="clear" w:color="auto" w:fill="FFFFFF"/>
        <w:autoSpaceDE/>
        <w:autoSpaceDN/>
        <w:contextualSpacing/>
        <w:jc w:val="both"/>
        <w:rPr>
          <w:rFonts w:asciiTheme="minorHAnsi" w:hAnsiTheme="minorHAnsi" w:cstheme="minorHAnsi"/>
        </w:rPr>
      </w:pPr>
      <w:r w:rsidRPr="0095311E">
        <w:rPr>
          <w:rFonts w:asciiTheme="minorHAnsi" w:hAnsiTheme="minorHAnsi" w:cstheme="minorHAnsi"/>
        </w:rPr>
        <w:t>prezretie správy sekretariátom;</w:t>
      </w:r>
    </w:p>
    <w:p w14:paraId="1192B293" w14:textId="77777777" w:rsidR="00B94B6F" w:rsidRPr="0095311E" w:rsidRDefault="00B94B6F" w:rsidP="00B94B6F">
      <w:pPr>
        <w:pStyle w:val="ListParagraph"/>
        <w:widowControl/>
        <w:numPr>
          <w:ilvl w:val="0"/>
          <w:numId w:val="6"/>
        </w:numPr>
        <w:shd w:val="clear" w:color="auto" w:fill="FFFFFF"/>
        <w:autoSpaceDE/>
        <w:autoSpaceDN/>
        <w:contextualSpacing/>
        <w:jc w:val="both"/>
        <w:rPr>
          <w:rFonts w:asciiTheme="minorHAnsi" w:hAnsiTheme="minorHAnsi" w:cstheme="minorHAnsi"/>
        </w:rPr>
      </w:pPr>
      <w:r w:rsidRPr="0095311E">
        <w:rPr>
          <w:rFonts w:asciiTheme="minorHAnsi" w:hAnsiTheme="minorHAnsi" w:cstheme="minorHAnsi"/>
        </w:rPr>
        <w:t>monitoring návštevy predstaviteľov pokrajinského sekretariátu;</w:t>
      </w:r>
    </w:p>
    <w:p w14:paraId="43D96939" w14:textId="77777777" w:rsidR="00B94B6F" w:rsidRPr="0095311E" w:rsidRDefault="00B94B6F" w:rsidP="00B94B6F">
      <w:pPr>
        <w:pStyle w:val="ListParagraph"/>
        <w:widowControl/>
        <w:numPr>
          <w:ilvl w:val="0"/>
          <w:numId w:val="6"/>
        </w:numPr>
        <w:shd w:val="clear" w:color="auto" w:fill="FFFFFF"/>
        <w:autoSpaceDE/>
        <w:autoSpaceDN/>
        <w:contextualSpacing/>
        <w:jc w:val="both"/>
        <w:rPr>
          <w:rFonts w:asciiTheme="minorHAnsi" w:hAnsiTheme="minorHAnsi" w:cstheme="minorHAnsi"/>
        </w:rPr>
      </w:pPr>
      <w:r w:rsidRPr="0095311E">
        <w:rPr>
          <w:rFonts w:asciiTheme="minorHAnsi" w:hAnsiTheme="minorHAnsi" w:cstheme="minorHAnsi"/>
        </w:rPr>
        <w:t>povinnosť podávateľa prihlášky umožniť predstaviteľom sekretariátu nahliadnuť do príslušnej dokumentácie vytvorenej pri realizácii programu alebo projektu;</w:t>
      </w:r>
    </w:p>
    <w:p w14:paraId="06A695EA" w14:textId="77777777" w:rsidR="00B94B6F" w:rsidRPr="0095311E" w:rsidRDefault="00B94B6F" w:rsidP="00B94B6F">
      <w:pPr>
        <w:pStyle w:val="ListParagraph"/>
        <w:widowControl/>
        <w:numPr>
          <w:ilvl w:val="0"/>
          <w:numId w:val="6"/>
        </w:numPr>
        <w:shd w:val="clear" w:color="auto" w:fill="FFFFFF"/>
        <w:autoSpaceDE/>
        <w:autoSpaceDN/>
        <w:contextualSpacing/>
        <w:jc w:val="both"/>
        <w:rPr>
          <w:rFonts w:asciiTheme="minorHAnsi" w:hAnsiTheme="minorHAnsi" w:cstheme="minorHAnsi"/>
        </w:rPr>
      </w:pPr>
      <w:r w:rsidRPr="0095311E">
        <w:rPr>
          <w:rFonts w:asciiTheme="minorHAnsi" w:hAnsiTheme="minorHAnsi" w:cstheme="minorHAnsi"/>
        </w:rPr>
        <w:t>zhromažďovanie informácií od žiadateľa;</w:t>
      </w:r>
    </w:p>
    <w:p w14:paraId="3FD1DC31" w14:textId="77777777" w:rsidR="00B94B6F" w:rsidRPr="0095311E" w:rsidRDefault="00B94B6F" w:rsidP="00B94B6F">
      <w:pPr>
        <w:pStyle w:val="ListParagraph"/>
        <w:widowControl/>
        <w:numPr>
          <w:ilvl w:val="0"/>
          <w:numId w:val="6"/>
        </w:numPr>
        <w:shd w:val="clear" w:color="auto" w:fill="FFFFFF"/>
        <w:autoSpaceDE/>
        <w:autoSpaceDN/>
        <w:contextualSpacing/>
        <w:jc w:val="both"/>
        <w:rPr>
          <w:rFonts w:asciiTheme="minorHAnsi" w:hAnsiTheme="minorHAnsi" w:cstheme="minorHAnsi"/>
        </w:rPr>
      </w:pPr>
      <w:r w:rsidRPr="0095311E">
        <w:rPr>
          <w:rFonts w:asciiTheme="minorHAnsi" w:hAnsiTheme="minorHAnsi" w:cstheme="minorHAnsi"/>
        </w:rPr>
        <w:t>iné činnosti určené v zmluve.</w:t>
      </w:r>
    </w:p>
    <w:p w14:paraId="53FD8CC1" w14:textId="34D753C5" w:rsidR="000212A0" w:rsidRPr="0095311E" w:rsidRDefault="00B94B6F" w:rsidP="0095311E">
      <w:pPr>
        <w:shd w:val="clear" w:color="auto" w:fill="FFFFFF"/>
        <w:ind w:firstLine="284"/>
        <w:jc w:val="both"/>
        <w:rPr>
          <w:rFonts w:asciiTheme="minorHAnsi" w:hAnsiTheme="minorHAnsi" w:cstheme="minorHAnsi"/>
        </w:rPr>
      </w:pPr>
      <w:r w:rsidRPr="0095311E">
        <w:rPr>
          <w:rFonts w:asciiTheme="minorHAnsi" w:hAnsiTheme="minorHAnsi" w:cstheme="minorHAnsi"/>
        </w:rPr>
        <w:t>Podávateľ prihlášky je povinný umožniť sekretariátu sledovať realizáciu programov alebo projektov.</w:t>
      </w:r>
    </w:p>
    <w:p w14:paraId="25BB77EA" w14:textId="77777777" w:rsidR="0095311E" w:rsidRDefault="0095311E" w:rsidP="00F83D63">
      <w:pPr>
        <w:widowControl/>
        <w:shd w:val="clear" w:color="auto" w:fill="FFFFFF"/>
        <w:autoSpaceDE/>
        <w:autoSpaceDN/>
        <w:spacing w:after="120"/>
        <w:ind w:firstLine="480"/>
        <w:jc w:val="center"/>
        <w:rPr>
          <w:rFonts w:asciiTheme="minorHAnsi" w:hAnsiTheme="minorHAnsi" w:cstheme="minorHAnsi"/>
        </w:rPr>
      </w:pPr>
    </w:p>
    <w:p w14:paraId="3EBC37DA" w14:textId="43B584FB" w:rsidR="00F83D63" w:rsidRPr="0095311E" w:rsidRDefault="00F83D63" w:rsidP="00F83D63">
      <w:pPr>
        <w:widowControl/>
        <w:shd w:val="clear" w:color="auto" w:fill="FFFFFF"/>
        <w:autoSpaceDE/>
        <w:autoSpaceDN/>
        <w:spacing w:after="120"/>
        <w:ind w:firstLine="480"/>
        <w:jc w:val="center"/>
        <w:rPr>
          <w:rFonts w:asciiTheme="minorHAnsi" w:hAnsiTheme="minorHAnsi" w:cstheme="minorHAnsi"/>
        </w:rPr>
      </w:pPr>
      <w:r w:rsidRPr="0095311E">
        <w:rPr>
          <w:rFonts w:asciiTheme="minorHAnsi" w:hAnsiTheme="minorHAnsi" w:cstheme="minorHAnsi"/>
        </w:rPr>
        <w:t>Článok 14</w:t>
      </w:r>
    </w:p>
    <w:p w14:paraId="1B0080B3" w14:textId="534F0EE9" w:rsidR="00473CA2" w:rsidRPr="0095311E" w:rsidRDefault="00473CA2" w:rsidP="00473CA2">
      <w:pPr>
        <w:widowControl/>
        <w:shd w:val="clear" w:color="auto" w:fill="FFFFFF"/>
        <w:autoSpaceDE/>
        <w:autoSpaceDN/>
        <w:spacing w:after="150"/>
        <w:ind w:firstLine="480"/>
        <w:jc w:val="both"/>
        <w:rPr>
          <w:rFonts w:asciiTheme="minorHAnsi" w:hAnsiTheme="minorHAnsi" w:cstheme="minorHAnsi"/>
        </w:rPr>
      </w:pPr>
      <w:r w:rsidRPr="0095311E">
        <w:rPr>
          <w:rFonts w:asciiTheme="minorHAnsi" w:hAnsiTheme="minorHAnsi" w:cstheme="minorHAnsi"/>
          <w:bCs/>
        </w:rPr>
        <w:t>Z dôvodu sledovania realizácie programu alebo projektu, sekretariát môže realizovať monitorovacie návštevy.</w:t>
      </w:r>
    </w:p>
    <w:p w14:paraId="6B43D201" w14:textId="4958CB79" w:rsidR="00473CA2" w:rsidRPr="0095311E" w:rsidRDefault="00473CA2" w:rsidP="00473CA2">
      <w:pPr>
        <w:widowControl/>
        <w:shd w:val="clear" w:color="auto" w:fill="FFFFFF"/>
        <w:autoSpaceDE/>
        <w:autoSpaceDN/>
        <w:spacing w:after="150"/>
        <w:ind w:firstLine="480"/>
        <w:jc w:val="both"/>
        <w:rPr>
          <w:rFonts w:asciiTheme="minorHAnsi" w:hAnsiTheme="minorHAnsi" w:cstheme="minorHAnsi"/>
        </w:rPr>
      </w:pPr>
      <w:r w:rsidRPr="0095311E">
        <w:rPr>
          <w:rFonts w:asciiTheme="minorHAnsi" w:hAnsiTheme="minorHAnsi" w:cstheme="minorHAnsi"/>
          <w:bCs/>
        </w:rPr>
        <w:t>V prípade programov a projektov, ktoré trvajú dlhšie ako šesť mesiacov a ktorých schválené finančné prostriedky presahujú 500 000,00 dinárov, ako aj programov alebo projektov, ktoré trvajú dlhšie ako jeden rok, sekretariát vykonáva počas programu alebo projektu najmenej jednu monitorovaciu návštevu, resp. najmenej raz ročne.</w:t>
      </w:r>
    </w:p>
    <w:p w14:paraId="745C6A6E" w14:textId="2FDEFDAC" w:rsidR="00857520" w:rsidRPr="0095311E" w:rsidRDefault="00473CA2" w:rsidP="0095311E">
      <w:pPr>
        <w:widowControl/>
        <w:shd w:val="clear" w:color="auto" w:fill="FFFFFF"/>
        <w:autoSpaceDE/>
        <w:autoSpaceDN/>
        <w:spacing w:after="150"/>
        <w:ind w:firstLine="480"/>
        <w:jc w:val="both"/>
        <w:rPr>
          <w:rFonts w:asciiTheme="minorHAnsi" w:hAnsiTheme="minorHAnsi" w:cstheme="minorHAnsi"/>
        </w:rPr>
      </w:pPr>
      <w:r w:rsidRPr="0095311E">
        <w:rPr>
          <w:rFonts w:asciiTheme="minorHAnsi" w:hAnsiTheme="minorHAnsi" w:cstheme="minorHAnsi"/>
        </w:rPr>
        <w:t>Sekretariát zostavuje správu o monitorovacej návšteve za 10 dní po dni uskutočnenia návštevy.</w:t>
      </w:r>
    </w:p>
    <w:p w14:paraId="4FD0E7F7" w14:textId="77777777" w:rsidR="0095311E" w:rsidRDefault="0095311E" w:rsidP="00857520">
      <w:pPr>
        <w:pStyle w:val="BodyText"/>
        <w:spacing w:line="230" w:lineRule="auto"/>
        <w:ind w:left="113" w:right="118" w:firstLine="355"/>
        <w:jc w:val="center"/>
        <w:rPr>
          <w:rFonts w:asciiTheme="minorHAnsi" w:hAnsiTheme="minorHAnsi" w:cstheme="minorHAnsi"/>
          <w:b/>
          <w:sz w:val="22"/>
          <w:szCs w:val="22"/>
        </w:rPr>
      </w:pPr>
    </w:p>
    <w:p w14:paraId="3347C295" w14:textId="0AF0B809" w:rsidR="00306291" w:rsidRPr="0095311E" w:rsidRDefault="00306291" w:rsidP="00857520">
      <w:pPr>
        <w:pStyle w:val="BodyText"/>
        <w:spacing w:line="230" w:lineRule="auto"/>
        <w:ind w:left="113" w:right="118" w:firstLine="355"/>
        <w:jc w:val="center"/>
        <w:rPr>
          <w:rFonts w:asciiTheme="minorHAnsi" w:hAnsiTheme="minorHAnsi" w:cstheme="minorHAnsi"/>
          <w:b/>
          <w:sz w:val="22"/>
          <w:szCs w:val="22"/>
        </w:rPr>
      </w:pPr>
      <w:r w:rsidRPr="0095311E">
        <w:rPr>
          <w:rFonts w:asciiTheme="minorHAnsi" w:hAnsiTheme="minorHAnsi" w:cstheme="minorHAnsi"/>
          <w:b/>
          <w:sz w:val="22"/>
          <w:szCs w:val="22"/>
        </w:rPr>
        <w:t>Záverečné ustanovenia</w:t>
      </w:r>
    </w:p>
    <w:p w14:paraId="186C0369" w14:textId="55443673" w:rsidR="009E6661" w:rsidRPr="0095311E" w:rsidRDefault="00077BF8" w:rsidP="00857520">
      <w:pPr>
        <w:pStyle w:val="BodyText"/>
        <w:spacing w:line="230" w:lineRule="auto"/>
        <w:ind w:left="113" w:right="118" w:firstLine="355"/>
        <w:jc w:val="center"/>
        <w:rPr>
          <w:rFonts w:asciiTheme="minorHAnsi" w:hAnsiTheme="minorHAnsi" w:cstheme="minorHAnsi"/>
          <w:sz w:val="22"/>
          <w:szCs w:val="22"/>
        </w:rPr>
      </w:pPr>
      <w:r w:rsidRPr="0095311E">
        <w:rPr>
          <w:rFonts w:asciiTheme="minorHAnsi" w:hAnsiTheme="minorHAnsi" w:cstheme="minorHAnsi"/>
          <w:sz w:val="22"/>
          <w:szCs w:val="22"/>
        </w:rPr>
        <w:t>Článok 15</w:t>
      </w:r>
    </w:p>
    <w:p w14:paraId="02CB99F5" w14:textId="77777777" w:rsidR="009E6661" w:rsidRPr="0095311E" w:rsidRDefault="009E6661">
      <w:pPr>
        <w:pStyle w:val="BodyText"/>
        <w:spacing w:before="1"/>
        <w:rPr>
          <w:rFonts w:asciiTheme="minorHAnsi" w:hAnsiTheme="minorHAnsi" w:cstheme="minorHAnsi"/>
          <w:sz w:val="22"/>
          <w:szCs w:val="22"/>
        </w:rPr>
      </w:pPr>
    </w:p>
    <w:p w14:paraId="426925AB" w14:textId="77777777" w:rsidR="00BF7D9E" w:rsidRPr="0095311E" w:rsidRDefault="00BF7D9E" w:rsidP="00857520">
      <w:pPr>
        <w:ind w:firstLine="468"/>
        <w:jc w:val="both"/>
        <w:rPr>
          <w:rFonts w:asciiTheme="minorHAnsi" w:hAnsiTheme="minorHAnsi" w:cstheme="minorHAnsi"/>
        </w:rPr>
      </w:pPr>
    </w:p>
    <w:p w14:paraId="228C40AC" w14:textId="77777777" w:rsidR="00BF7D9E" w:rsidRPr="0095311E" w:rsidRDefault="00BF7D9E" w:rsidP="00BF7D9E">
      <w:pPr>
        <w:ind w:firstLine="468"/>
        <w:jc w:val="both"/>
        <w:rPr>
          <w:rFonts w:asciiTheme="minorHAnsi" w:hAnsiTheme="minorHAnsi" w:cstheme="minorHAnsi"/>
        </w:rPr>
      </w:pPr>
      <w:r w:rsidRPr="0095311E">
        <w:rPr>
          <w:rFonts w:asciiTheme="minorHAnsi" w:hAnsiTheme="minorHAnsi" w:cstheme="minorHAnsi"/>
        </w:rPr>
        <w:t>Tieto pravidlá nadobúdajú účinnosť dňom uverejnenia v Úradnom vestníku Autonómnej pokrajiny Vojvodiny a uverejňujú sa aj na úradnej webovej stránke Pokrajinského sekretariátu vzdelávania, predpisov, správy a národnostných menšín – národnostných spoločenstiev.</w:t>
      </w:r>
    </w:p>
    <w:p w14:paraId="0F9E9E6B" w14:textId="77777777" w:rsidR="00BF7D9E" w:rsidRPr="0095311E" w:rsidRDefault="00BF7D9E" w:rsidP="00857520">
      <w:pPr>
        <w:ind w:firstLine="468"/>
        <w:jc w:val="both"/>
        <w:rPr>
          <w:rFonts w:asciiTheme="minorHAnsi" w:hAnsiTheme="minorHAnsi" w:cstheme="minorHAnsi"/>
        </w:rPr>
      </w:pPr>
    </w:p>
    <w:p w14:paraId="636ABFDA" w14:textId="39B6425F" w:rsidR="0095311E" w:rsidRDefault="00077BF8" w:rsidP="0095311E">
      <w:pPr>
        <w:ind w:firstLine="468"/>
        <w:jc w:val="both"/>
        <w:rPr>
          <w:rFonts w:asciiTheme="minorHAnsi" w:hAnsiTheme="minorHAnsi" w:cstheme="minorHAnsi"/>
        </w:rPr>
      </w:pPr>
      <w:r w:rsidRPr="0095311E">
        <w:rPr>
          <w:rFonts w:asciiTheme="minorHAnsi" w:hAnsiTheme="minorHAnsi" w:cstheme="minorHAnsi"/>
        </w:rPr>
        <w:t>V deň nadobudnutia účinnosti týchto pravidiel zaniká platnosť Pravidiel о pridelení rozpočtových prostriedkov Pokrajinského sekretariátu vzdelávania, predpisov, správy a národnostných menšín – národnostných spoločenstiev na financovanie a spolufinancovanie obstarania vybavenia  pre základné školy, ktoré majú status verejne uznávaných organizátorov aktivít formálneho základného vzdelávania dospelých na území Autonómnej pokrajiny Vojvodiny (Úradný vestník APV č. 7/2023 a 5/2024).</w:t>
      </w:r>
    </w:p>
    <w:p w14:paraId="203BCF7E" w14:textId="77777777" w:rsidR="0095311E" w:rsidRPr="0095311E" w:rsidRDefault="0095311E" w:rsidP="00857520">
      <w:pPr>
        <w:rPr>
          <w:rFonts w:asciiTheme="minorHAnsi" w:hAnsiTheme="minorHAnsi" w:cstheme="minorHAnsi"/>
        </w:rPr>
      </w:pPr>
    </w:p>
    <w:p w14:paraId="45A8262B" w14:textId="77777777" w:rsidR="009E6661" w:rsidRPr="0095311E" w:rsidRDefault="009E6661" w:rsidP="00857520">
      <w:pPr>
        <w:rPr>
          <w:rFonts w:asciiTheme="minorHAnsi" w:hAnsiTheme="minorHAnsi" w:cstheme="minorHAnsi"/>
        </w:rPr>
      </w:pPr>
    </w:p>
    <w:p w14:paraId="5ECD21C7" w14:textId="77777777" w:rsidR="009E6661" w:rsidRPr="0095311E" w:rsidRDefault="00077BF8" w:rsidP="00077BF8">
      <w:pPr>
        <w:jc w:val="center"/>
        <w:rPr>
          <w:rFonts w:asciiTheme="minorHAnsi" w:hAnsiTheme="minorHAnsi" w:cstheme="minorHAnsi"/>
        </w:rPr>
      </w:pPr>
      <w:r w:rsidRPr="0095311E">
        <w:rPr>
          <w:rFonts w:asciiTheme="minorHAnsi" w:hAnsiTheme="minorHAnsi" w:cstheme="minorHAnsi"/>
        </w:rPr>
        <w:t>POKRAJINSKÝ SEKRETARIÁT VZDELÁVANIA PREDPISOV, SPRÁVY A NÁRODNOSTNÝCH MENŠÍN – NÁRODNOSTNÝCH SPOLOČENSTIEV</w:t>
      </w:r>
    </w:p>
    <w:p w14:paraId="7E95A72E" w14:textId="77777777" w:rsidR="009E6661" w:rsidRPr="0095311E" w:rsidRDefault="009E6661" w:rsidP="00857520">
      <w:pPr>
        <w:rPr>
          <w:rFonts w:asciiTheme="minorHAnsi" w:hAnsiTheme="minorHAnsi" w:cstheme="minorHAnsi"/>
        </w:rPr>
      </w:pPr>
    </w:p>
    <w:p w14:paraId="4E3B9263" w14:textId="77777777" w:rsidR="009E6661" w:rsidRPr="0095311E" w:rsidRDefault="009E6661" w:rsidP="00857520">
      <w:pPr>
        <w:rPr>
          <w:rFonts w:asciiTheme="minorHAnsi" w:hAnsiTheme="minorHAnsi" w:cstheme="minorHAnsi"/>
        </w:rPr>
      </w:pPr>
    </w:p>
    <w:p w14:paraId="5E6BB169" w14:textId="77323EDC" w:rsidR="00077BF8" w:rsidRPr="0095311E" w:rsidRDefault="00077BF8" w:rsidP="00857520">
      <w:pPr>
        <w:rPr>
          <w:rFonts w:asciiTheme="minorHAnsi" w:hAnsiTheme="minorHAnsi" w:cstheme="minorHAnsi"/>
        </w:rPr>
      </w:pPr>
      <w:r w:rsidRPr="0095311E">
        <w:rPr>
          <w:rFonts w:asciiTheme="minorHAnsi" w:hAnsiTheme="minorHAnsi" w:cstheme="minorHAnsi"/>
        </w:rPr>
        <w:t>Číslo: 00319251 2025 09427 001 001 000 001</w:t>
      </w:r>
    </w:p>
    <w:p w14:paraId="186AA88D" w14:textId="575E8080" w:rsidR="006420A7" w:rsidRPr="0095311E" w:rsidRDefault="00077BF8" w:rsidP="006420A7">
      <w:pPr>
        <w:rPr>
          <w:rFonts w:asciiTheme="minorHAnsi" w:hAnsiTheme="minorHAnsi" w:cstheme="minorHAnsi"/>
        </w:rPr>
      </w:pPr>
      <w:r w:rsidRPr="0095311E">
        <w:rPr>
          <w:rFonts w:asciiTheme="minorHAnsi" w:hAnsiTheme="minorHAnsi" w:cstheme="minorHAnsi"/>
        </w:rPr>
        <w:t>Nový Sad 04. 02. 2025</w:t>
      </w:r>
    </w:p>
    <w:p w14:paraId="4ED0FB32" w14:textId="77777777" w:rsidR="006420A7" w:rsidRPr="0095311E" w:rsidRDefault="006420A7" w:rsidP="006420A7">
      <w:pPr>
        <w:widowControl/>
        <w:autoSpaceDE/>
        <w:autoSpaceDN/>
        <w:jc w:val="both"/>
        <w:rPr>
          <w:rFonts w:asciiTheme="minorHAnsi" w:eastAsia="Times New Roman" w:hAnsiTheme="minorHAnsi" w:cstheme="minorHAnsi"/>
        </w:rPr>
      </w:pPr>
      <w:r w:rsidRPr="0095311E">
        <w:rPr>
          <w:rFonts w:asciiTheme="minorHAnsi" w:hAnsiTheme="minorHAnsi" w:cstheme="minorHAnsi"/>
        </w:rPr>
        <w:t xml:space="preserve">                                                                                                                                             Pokrajinský tajomník</w:t>
      </w:r>
    </w:p>
    <w:p w14:paraId="06197CD8" w14:textId="17171A7A" w:rsidR="00232930" w:rsidRPr="0095311E" w:rsidRDefault="00232930" w:rsidP="00232930">
      <w:pPr>
        <w:ind w:left="4956"/>
        <w:jc w:val="center"/>
        <w:rPr>
          <w:rFonts w:asciiTheme="minorHAnsi" w:eastAsia="Lucida Sans Unicode" w:hAnsiTheme="minorHAnsi" w:cstheme="minorHAnsi"/>
        </w:rPr>
      </w:pPr>
      <w:r w:rsidRPr="0095311E">
        <w:rPr>
          <w:rFonts w:asciiTheme="minorHAnsi" w:hAnsiTheme="minorHAnsi" w:cstheme="minorHAnsi"/>
        </w:rPr>
        <w:t xml:space="preserve">   </w:t>
      </w:r>
      <w:r w:rsidRPr="0095311E">
        <w:rPr>
          <w:rFonts w:asciiTheme="minorHAnsi" w:hAnsiTheme="minorHAnsi" w:cstheme="minorHAnsi"/>
        </w:rPr>
        <w:tab/>
      </w:r>
      <w:r w:rsidR="0095311E">
        <w:rPr>
          <w:rFonts w:asciiTheme="minorHAnsi" w:hAnsiTheme="minorHAnsi" w:cstheme="minorHAnsi"/>
        </w:rPr>
        <w:t xml:space="preserve">                </w:t>
      </w:r>
      <w:r w:rsidRPr="0095311E">
        <w:rPr>
          <w:rFonts w:asciiTheme="minorHAnsi" w:hAnsiTheme="minorHAnsi" w:cstheme="minorHAnsi"/>
        </w:rPr>
        <w:t>Róbert Ótott</w:t>
      </w:r>
    </w:p>
    <w:p w14:paraId="433AE904" w14:textId="250DF324" w:rsidR="009E6661" w:rsidRPr="0095311E" w:rsidRDefault="005B54CA" w:rsidP="0095311E">
      <w:pPr>
        <w:widowControl/>
        <w:tabs>
          <w:tab w:val="center" w:pos="7200"/>
        </w:tabs>
        <w:autoSpaceDE/>
        <w:autoSpaceDN/>
        <w:rPr>
          <w:rFonts w:asciiTheme="minorHAnsi" w:eastAsia="Times New Roman" w:hAnsiTheme="minorHAnsi" w:cstheme="minorHAnsi"/>
        </w:rPr>
      </w:pPr>
      <w:r w:rsidRPr="0095311E">
        <w:rPr>
          <w:rFonts w:asciiTheme="minorHAnsi" w:hAnsiTheme="minorHAnsi" w:cstheme="minorHAnsi"/>
        </w:rPr>
        <w:t xml:space="preserve">               </w:t>
      </w:r>
      <w:bookmarkStart w:id="0" w:name="_GoBack"/>
      <w:bookmarkEnd w:id="0"/>
    </w:p>
    <w:sectPr w:rsidR="009E6661" w:rsidRPr="0095311E"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33E1"/>
    <w:multiLevelType w:val="hybridMultilevel"/>
    <w:tmpl w:val="CD000D86"/>
    <w:lvl w:ilvl="0" w:tplc="2778A942">
      <w:start w:val="1"/>
      <w:numFmt w:val="decimal"/>
      <w:lvlText w:val="%1)"/>
      <w:lvlJc w:val="left"/>
      <w:pPr>
        <w:ind w:left="644" w:hanging="360"/>
      </w:pPr>
    </w:lvl>
    <w:lvl w:ilvl="1" w:tplc="241A0019">
      <w:start w:val="1"/>
      <w:numFmt w:val="lowerLetter"/>
      <w:lvlText w:val="%2."/>
      <w:lvlJc w:val="left"/>
      <w:pPr>
        <w:ind w:left="1364" w:hanging="360"/>
      </w:pPr>
    </w:lvl>
    <w:lvl w:ilvl="2" w:tplc="241A001B">
      <w:start w:val="1"/>
      <w:numFmt w:val="lowerRoman"/>
      <w:lvlText w:val="%3."/>
      <w:lvlJc w:val="right"/>
      <w:pPr>
        <w:ind w:left="2084" w:hanging="180"/>
      </w:pPr>
    </w:lvl>
    <w:lvl w:ilvl="3" w:tplc="241A000F">
      <w:start w:val="1"/>
      <w:numFmt w:val="decimal"/>
      <w:lvlText w:val="%4."/>
      <w:lvlJc w:val="left"/>
      <w:pPr>
        <w:ind w:left="2804" w:hanging="360"/>
      </w:pPr>
    </w:lvl>
    <w:lvl w:ilvl="4" w:tplc="241A0019">
      <w:start w:val="1"/>
      <w:numFmt w:val="lowerLetter"/>
      <w:lvlText w:val="%5."/>
      <w:lvlJc w:val="left"/>
      <w:pPr>
        <w:ind w:left="3524" w:hanging="360"/>
      </w:pPr>
    </w:lvl>
    <w:lvl w:ilvl="5" w:tplc="241A001B">
      <w:start w:val="1"/>
      <w:numFmt w:val="lowerRoman"/>
      <w:lvlText w:val="%6."/>
      <w:lvlJc w:val="right"/>
      <w:pPr>
        <w:ind w:left="4244" w:hanging="180"/>
      </w:pPr>
    </w:lvl>
    <w:lvl w:ilvl="6" w:tplc="241A000F">
      <w:start w:val="1"/>
      <w:numFmt w:val="decimal"/>
      <w:lvlText w:val="%7."/>
      <w:lvlJc w:val="left"/>
      <w:pPr>
        <w:ind w:left="4964" w:hanging="360"/>
      </w:pPr>
    </w:lvl>
    <w:lvl w:ilvl="7" w:tplc="241A0019">
      <w:start w:val="1"/>
      <w:numFmt w:val="lowerLetter"/>
      <w:lvlText w:val="%8."/>
      <w:lvlJc w:val="left"/>
      <w:pPr>
        <w:ind w:left="5684" w:hanging="360"/>
      </w:pPr>
    </w:lvl>
    <w:lvl w:ilvl="8" w:tplc="241A001B">
      <w:start w:val="1"/>
      <w:numFmt w:val="lowerRoman"/>
      <w:lvlText w:val="%9."/>
      <w:lvlJc w:val="right"/>
      <w:pPr>
        <w:ind w:left="6404" w:hanging="180"/>
      </w:pPr>
    </w:lvl>
  </w:abstractNum>
  <w:abstractNum w:abstractNumId="1"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3"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717"/>
    <w:rsid w:val="00016917"/>
    <w:rsid w:val="000212A0"/>
    <w:rsid w:val="000360F1"/>
    <w:rsid w:val="00042919"/>
    <w:rsid w:val="00077BF8"/>
    <w:rsid w:val="001135FD"/>
    <w:rsid w:val="0012255F"/>
    <w:rsid w:val="00151483"/>
    <w:rsid w:val="0016435F"/>
    <w:rsid w:val="001A663B"/>
    <w:rsid w:val="001D2708"/>
    <w:rsid w:val="00201DEA"/>
    <w:rsid w:val="002277E8"/>
    <w:rsid w:val="00232930"/>
    <w:rsid w:val="002907AC"/>
    <w:rsid w:val="00296313"/>
    <w:rsid w:val="002B256C"/>
    <w:rsid w:val="002D2469"/>
    <w:rsid w:val="00306291"/>
    <w:rsid w:val="00331179"/>
    <w:rsid w:val="00386704"/>
    <w:rsid w:val="0040201D"/>
    <w:rsid w:val="00422898"/>
    <w:rsid w:val="00473CA2"/>
    <w:rsid w:val="00487308"/>
    <w:rsid w:val="004F595D"/>
    <w:rsid w:val="00594A85"/>
    <w:rsid w:val="005B54CA"/>
    <w:rsid w:val="006052F7"/>
    <w:rsid w:val="006420A7"/>
    <w:rsid w:val="006E728C"/>
    <w:rsid w:val="00723F6C"/>
    <w:rsid w:val="007C6B91"/>
    <w:rsid w:val="00841CDA"/>
    <w:rsid w:val="008553F0"/>
    <w:rsid w:val="00857520"/>
    <w:rsid w:val="00865828"/>
    <w:rsid w:val="008E6E7F"/>
    <w:rsid w:val="00935AB9"/>
    <w:rsid w:val="0095311E"/>
    <w:rsid w:val="0098076F"/>
    <w:rsid w:val="009E6661"/>
    <w:rsid w:val="009F2B0C"/>
    <w:rsid w:val="00B01F26"/>
    <w:rsid w:val="00B028EF"/>
    <w:rsid w:val="00B94B6F"/>
    <w:rsid w:val="00BA0A1B"/>
    <w:rsid w:val="00BB7689"/>
    <w:rsid w:val="00BF7D9E"/>
    <w:rsid w:val="00E171C5"/>
    <w:rsid w:val="00E625F4"/>
    <w:rsid w:val="00E720D4"/>
    <w:rsid w:val="00EB567D"/>
    <w:rsid w:val="00EE0144"/>
    <w:rsid w:val="00F10ECE"/>
    <w:rsid w:val="00F337F1"/>
    <w:rsid w:val="00F83D63"/>
    <w:rsid w:val="00FC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sk-SK"/>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sk-SK"/>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sk-SK"/>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sk-SK"/>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14968707">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726950938">
      <w:bodyDiv w:val="1"/>
      <w:marLeft w:val="0"/>
      <w:marRight w:val="0"/>
      <w:marTop w:val="0"/>
      <w:marBottom w:val="0"/>
      <w:divBdr>
        <w:top w:val="none" w:sz="0" w:space="0" w:color="auto"/>
        <w:left w:val="none" w:sz="0" w:space="0" w:color="auto"/>
        <w:bottom w:val="none" w:sz="0" w:space="0" w:color="auto"/>
        <w:right w:val="none" w:sz="0" w:space="0" w:color="auto"/>
      </w:divBdr>
    </w:div>
    <w:div w:id="731393328">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799878531">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933049245">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6981084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1981</Words>
  <Characters>11294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Martina Bartosova</cp:lastModifiedBy>
  <cp:revision>6</cp:revision>
  <cp:lastPrinted>2023-02-14T13:32:00Z</cp:lastPrinted>
  <dcterms:created xsi:type="dcterms:W3CDTF">2025-02-03T13:35:00Z</dcterms:created>
  <dcterms:modified xsi:type="dcterms:W3CDTF">2025-02-05T08:42:00Z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