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7" w:type="dxa"/>
        <w:tblInd w:w="108" w:type="dxa"/>
        <w:tblLayout w:type="fixed"/>
        <w:tblLook w:val="04A0" w:firstRow="1" w:lastRow="0" w:firstColumn="1" w:lastColumn="0" w:noHBand="0" w:noVBand="1"/>
      </w:tblPr>
      <w:tblGrid>
        <w:gridCol w:w="1276"/>
        <w:gridCol w:w="1276"/>
        <w:gridCol w:w="3010"/>
        <w:gridCol w:w="3369"/>
        <w:gridCol w:w="1276"/>
      </w:tblGrid>
      <w:tr w:rsidR="00DD318F" w:rsidRPr="00737A7B" w14:paraId="4B0323DC" w14:textId="77777777" w:rsidTr="00860A60">
        <w:trPr>
          <w:trHeight w:val="1975"/>
        </w:trPr>
        <w:tc>
          <w:tcPr>
            <w:tcW w:w="2552" w:type="dxa"/>
            <w:gridSpan w:val="2"/>
          </w:tcPr>
          <w:p w14:paraId="6879890D" w14:textId="77777777" w:rsidR="00DD318F" w:rsidRPr="00737A7B" w:rsidRDefault="00DD318F" w:rsidP="00860A60">
            <w:pPr>
              <w:tabs>
                <w:tab w:val="center" w:pos="4703"/>
                <w:tab w:val="right" w:pos="9406"/>
              </w:tabs>
              <w:ind w:left="-198" w:firstLine="108"/>
              <w:rPr>
                <w:rFonts w:asciiTheme="minorHAnsi" w:hAnsiTheme="minorHAnsi"/>
                <w:color w:val="000000"/>
                <w:sz w:val="20"/>
                <w:szCs w:val="20"/>
              </w:rPr>
            </w:pPr>
            <w:r w:rsidRPr="00737A7B">
              <w:rPr>
                <w:rFonts w:asciiTheme="minorHAnsi" w:hAnsiTheme="minorHAnsi"/>
                <w:noProof/>
                <w:color w:val="000000"/>
                <w:sz w:val="20"/>
                <w:szCs w:val="20"/>
              </w:rPr>
              <w:drawing>
                <wp:inline distT="0" distB="0" distL="0" distR="0" wp14:anchorId="519FC62A" wp14:editId="7982139E">
                  <wp:extent cx="1487170" cy="962025"/>
                  <wp:effectExtent l="0" t="0" r="0" b="9525"/>
                  <wp:docPr id="2" name="Picture 2" descr="Description: 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7170" cy="962025"/>
                          </a:xfrm>
                          <a:prstGeom prst="rect">
                            <a:avLst/>
                          </a:prstGeom>
                          <a:noFill/>
                          <a:ln>
                            <a:noFill/>
                          </a:ln>
                        </pic:spPr>
                      </pic:pic>
                    </a:graphicData>
                  </a:graphic>
                </wp:inline>
              </w:drawing>
            </w:r>
          </w:p>
        </w:tc>
        <w:tc>
          <w:tcPr>
            <w:tcW w:w="7655" w:type="dxa"/>
            <w:gridSpan w:val="3"/>
          </w:tcPr>
          <w:p w14:paraId="198B9FBA" w14:textId="77777777" w:rsidR="00DD318F" w:rsidRPr="00737A7B" w:rsidRDefault="00DD318F" w:rsidP="00860A60">
            <w:pPr>
              <w:tabs>
                <w:tab w:val="center" w:pos="4703"/>
                <w:tab w:val="right" w:pos="9406"/>
              </w:tabs>
              <w:rPr>
                <w:rFonts w:asciiTheme="minorHAnsi" w:hAnsiTheme="minorHAnsi"/>
                <w:sz w:val="20"/>
                <w:szCs w:val="20"/>
              </w:rPr>
            </w:pPr>
            <w:r w:rsidRPr="00737A7B">
              <w:rPr>
                <w:rFonts w:asciiTheme="minorHAnsi" w:hAnsiTheme="minorHAnsi"/>
                <w:sz w:val="20"/>
                <w:szCs w:val="20"/>
              </w:rPr>
              <w:t>Szerb Köztársaság</w:t>
            </w:r>
          </w:p>
          <w:p w14:paraId="1C7B5A8B" w14:textId="77777777" w:rsidR="00DD318F" w:rsidRPr="00737A7B" w:rsidRDefault="00DD318F" w:rsidP="00860A60">
            <w:pPr>
              <w:rPr>
                <w:rFonts w:asciiTheme="minorHAnsi" w:hAnsiTheme="minorHAnsi"/>
                <w:sz w:val="20"/>
                <w:szCs w:val="20"/>
              </w:rPr>
            </w:pPr>
            <w:r w:rsidRPr="00737A7B">
              <w:rPr>
                <w:rFonts w:asciiTheme="minorHAnsi" w:hAnsiTheme="minorHAnsi"/>
                <w:sz w:val="20"/>
                <w:szCs w:val="20"/>
              </w:rPr>
              <w:t>Vajdaság Autonóm Tartomány</w:t>
            </w:r>
          </w:p>
          <w:p w14:paraId="434D5446" w14:textId="77777777" w:rsidR="00DD318F" w:rsidRPr="00737A7B" w:rsidRDefault="00DD318F" w:rsidP="00860A60">
            <w:pPr>
              <w:rPr>
                <w:rFonts w:asciiTheme="minorHAnsi" w:hAnsiTheme="minorHAnsi"/>
                <w:b/>
                <w:sz w:val="20"/>
                <w:szCs w:val="20"/>
              </w:rPr>
            </w:pPr>
            <w:r w:rsidRPr="00737A7B">
              <w:rPr>
                <w:rFonts w:asciiTheme="minorHAnsi" w:hAnsiTheme="minorHAnsi"/>
                <w:b/>
                <w:sz w:val="20"/>
                <w:szCs w:val="20"/>
              </w:rPr>
              <w:t>Tartományi Oktatási, Jogalkotási,</w:t>
            </w:r>
          </w:p>
          <w:p w14:paraId="08A6C9BD" w14:textId="54F29C99" w:rsidR="00DD318F" w:rsidRPr="00737A7B" w:rsidRDefault="00DD318F" w:rsidP="00860A60">
            <w:pPr>
              <w:rPr>
                <w:rFonts w:asciiTheme="minorHAnsi" w:hAnsiTheme="minorHAnsi"/>
                <w:b/>
                <w:sz w:val="20"/>
                <w:szCs w:val="20"/>
              </w:rPr>
            </w:pPr>
            <w:r w:rsidRPr="00737A7B">
              <w:rPr>
                <w:rFonts w:asciiTheme="minorHAnsi" w:hAnsiTheme="minorHAnsi"/>
                <w:b/>
                <w:sz w:val="20"/>
                <w:szCs w:val="20"/>
              </w:rPr>
              <w:t xml:space="preserve">Közigazgatási és Nemzeti Kisebbségi </w:t>
            </w:r>
            <w:r w:rsidR="00737A7B">
              <w:rPr>
                <w:rFonts w:asciiTheme="minorHAnsi" w:hAnsiTheme="minorHAnsi"/>
                <w:b/>
                <w:sz w:val="20"/>
                <w:szCs w:val="20"/>
              </w:rPr>
              <w:t>–</w:t>
            </w:r>
            <w:r w:rsidRPr="00737A7B">
              <w:rPr>
                <w:rFonts w:asciiTheme="minorHAnsi" w:hAnsiTheme="minorHAnsi"/>
                <w:b/>
                <w:sz w:val="20"/>
                <w:szCs w:val="20"/>
              </w:rPr>
              <w:t xml:space="preserve"> Nemzeti</w:t>
            </w:r>
            <w:r w:rsidR="00737A7B">
              <w:rPr>
                <w:rFonts w:asciiTheme="minorHAnsi" w:hAnsiTheme="minorHAnsi"/>
                <w:b/>
                <w:sz w:val="20"/>
                <w:szCs w:val="20"/>
              </w:rPr>
              <w:t xml:space="preserve"> </w:t>
            </w:r>
            <w:r w:rsidRPr="00737A7B">
              <w:rPr>
                <w:rFonts w:asciiTheme="minorHAnsi" w:hAnsiTheme="minorHAnsi"/>
                <w:b/>
                <w:sz w:val="20"/>
                <w:szCs w:val="20"/>
              </w:rPr>
              <w:t>Közösségi Titkárság</w:t>
            </w:r>
          </w:p>
          <w:p w14:paraId="01961601" w14:textId="77777777" w:rsidR="00DD318F" w:rsidRPr="00737A7B" w:rsidRDefault="00DD318F" w:rsidP="00860A60">
            <w:pPr>
              <w:tabs>
                <w:tab w:val="center" w:pos="4703"/>
                <w:tab w:val="right" w:pos="9406"/>
              </w:tabs>
              <w:rPr>
                <w:rFonts w:asciiTheme="minorHAnsi" w:hAnsiTheme="minorHAnsi"/>
                <w:sz w:val="20"/>
                <w:szCs w:val="20"/>
              </w:rPr>
            </w:pPr>
            <w:r w:rsidRPr="00737A7B">
              <w:rPr>
                <w:rFonts w:asciiTheme="minorHAnsi" w:hAnsiTheme="minorHAnsi"/>
                <w:sz w:val="20"/>
                <w:szCs w:val="20"/>
              </w:rPr>
              <w:t>Mihajlo Pupin sugárút 16., 21000 Újvidék</w:t>
            </w:r>
          </w:p>
          <w:p w14:paraId="75D6DCA2" w14:textId="77777777" w:rsidR="00DD318F" w:rsidRPr="00737A7B" w:rsidRDefault="007F402B" w:rsidP="00860A60">
            <w:pPr>
              <w:tabs>
                <w:tab w:val="center" w:pos="4703"/>
                <w:tab w:val="right" w:pos="9406"/>
              </w:tabs>
              <w:rPr>
                <w:rFonts w:asciiTheme="minorHAnsi" w:hAnsiTheme="minorHAnsi"/>
                <w:sz w:val="20"/>
                <w:szCs w:val="20"/>
              </w:rPr>
            </w:pPr>
            <w:r w:rsidRPr="00737A7B">
              <w:rPr>
                <w:rFonts w:asciiTheme="minorHAnsi" w:hAnsiTheme="minorHAnsi"/>
                <w:sz w:val="20"/>
                <w:szCs w:val="20"/>
              </w:rPr>
              <w:t>Telefon: +381 21 487 43 30</w:t>
            </w:r>
          </w:p>
          <w:p w14:paraId="4EDB1C80" w14:textId="77777777" w:rsidR="00DD318F" w:rsidRPr="00737A7B" w:rsidRDefault="001104E8" w:rsidP="00860A60">
            <w:pPr>
              <w:tabs>
                <w:tab w:val="center" w:pos="4703"/>
                <w:tab w:val="right" w:pos="9406"/>
              </w:tabs>
              <w:rPr>
                <w:rFonts w:asciiTheme="minorHAnsi" w:hAnsiTheme="minorHAnsi"/>
                <w:sz w:val="20"/>
                <w:szCs w:val="20"/>
              </w:rPr>
            </w:pPr>
            <w:hyperlink r:id="rId9" w:history="1">
              <w:r w:rsidR="00A947BD" w:rsidRPr="00737A7B">
                <w:rPr>
                  <w:rFonts w:asciiTheme="minorHAnsi" w:hAnsiTheme="minorHAnsi"/>
                  <w:color w:val="0000FF"/>
                  <w:sz w:val="20"/>
                  <w:szCs w:val="20"/>
                  <w:u w:val="single"/>
                </w:rPr>
                <w:t>ounz@vojvodinа.gov.rs</w:t>
              </w:r>
            </w:hyperlink>
          </w:p>
          <w:p w14:paraId="46E14439" w14:textId="77777777" w:rsidR="00DD318F" w:rsidRPr="00737A7B" w:rsidRDefault="00DD318F" w:rsidP="00860A60">
            <w:pPr>
              <w:tabs>
                <w:tab w:val="center" w:pos="4703"/>
                <w:tab w:val="right" w:pos="9406"/>
              </w:tabs>
              <w:rPr>
                <w:rFonts w:asciiTheme="minorHAnsi" w:hAnsiTheme="minorHAnsi"/>
                <w:color w:val="000000"/>
                <w:sz w:val="20"/>
                <w:szCs w:val="20"/>
              </w:rPr>
            </w:pPr>
          </w:p>
        </w:tc>
      </w:tr>
      <w:tr w:rsidR="00DD318F" w:rsidRPr="00737A7B" w14:paraId="04B9F5A4" w14:textId="77777777" w:rsidTr="009D68BB">
        <w:trPr>
          <w:gridAfter w:val="1"/>
          <w:wAfter w:w="1276" w:type="dxa"/>
          <w:trHeight w:val="305"/>
        </w:trPr>
        <w:tc>
          <w:tcPr>
            <w:tcW w:w="1276" w:type="dxa"/>
          </w:tcPr>
          <w:p w14:paraId="52839101" w14:textId="77777777" w:rsidR="00DD318F" w:rsidRPr="00737A7B" w:rsidRDefault="00DD318F" w:rsidP="00860A60">
            <w:pPr>
              <w:tabs>
                <w:tab w:val="center" w:pos="4703"/>
                <w:tab w:val="right" w:pos="9406"/>
              </w:tabs>
              <w:ind w:left="-198" w:firstLine="108"/>
              <w:rPr>
                <w:rFonts w:asciiTheme="minorHAnsi" w:eastAsia="Calibri" w:hAnsiTheme="minorHAnsi"/>
                <w:noProof/>
                <w:color w:val="000000"/>
                <w:sz w:val="20"/>
                <w:szCs w:val="20"/>
              </w:rPr>
            </w:pPr>
          </w:p>
        </w:tc>
        <w:tc>
          <w:tcPr>
            <w:tcW w:w="4286" w:type="dxa"/>
            <w:gridSpan w:val="2"/>
          </w:tcPr>
          <w:p w14:paraId="1C5EA44A" w14:textId="2FE3AC9C" w:rsidR="00DD318F" w:rsidRPr="00737A7B" w:rsidRDefault="00DD318F" w:rsidP="00860A60">
            <w:pPr>
              <w:tabs>
                <w:tab w:val="center" w:pos="4703"/>
                <w:tab w:val="right" w:pos="9406"/>
              </w:tabs>
              <w:rPr>
                <w:rFonts w:asciiTheme="minorHAnsi" w:eastAsia="Calibri" w:hAnsiTheme="minorHAnsi"/>
                <w:color w:val="000000"/>
                <w:sz w:val="20"/>
                <w:szCs w:val="20"/>
              </w:rPr>
            </w:pPr>
            <w:r w:rsidRPr="00737A7B">
              <w:rPr>
                <w:rFonts w:asciiTheme="minorHAnsi" w:hAnsiTheme="minorHAnsi"/>
                <w:color w:val="000000"/>
                <w:sz w:val="20"/>
                <w:szCs w:val="20"/>
              </w:rPr>
              <w:t xml:space="preserve">SZÁM: </w:t>
            </w:r>
            <w:r w:rsidRPr="00737A7B">
              <w:rPr>
                <w:rFonts w:asciiTheme="minorHAnsi" w:hAnsiTheme="minorHAnsi"/>
                <w:sz w:val="20"/>
                <w:szCs w:val="20"/>
              </w:rPr>
              <w:t xml:space="preserve">000326963 2025 09427 001 001 000 001           </w:t>
            </w:r>
          </w:p>
          <w:p w14:paraId="75D164F3" w14:textId="77777777" w:rsidR="00DD318F" w:rsidRPr="00737A7B" w:rsidRDefault="00DD318F" w:rsidP="00860A60">
            <w:pPr>
              <w:tabs>
                <w:tab w:val="center" w:pos="4703"/>
                <w:tab w:val="right" w:pos="9406"/>
              </w:tabs>
              <w:rPr>
                <w:rFonts w:asciiTheme="minorHAnsi" w:eastAsia="Calibri" w:hAnsiTheme="minorHAnsi"/>
                <w:color w:val="000000"/>
                <w:sz w:val="20"/>
                <w:szCs w:val="20"/>
              </w:rPr>
            </w:pPr>
          </w:p>
        </w:tc>
        <w:tc>
          <w:tcPr>
            <w:tcW w:w="3369" w:type="dxa"/>
          </w:tcPr>
          <w:p w14:paraId="7D1AB5B6" w14:textId="33F30673" w:rsidR="00DD318F" w:rsidRPr="00737A7B" w:rsidRDefault="009D68BB" w:rsidP="007645CC">
            <w:pPr>
              <w:tabs>
                <w:tab w:val="center" w:pos="4703"/>
                <w:tab w:val="right" w:pos="9406"/>
              </w:tabs>
              <w:rPr>
                <w:rFonts w:asciiTheme="minorHAnsi" w:eastAsia="Calibri" w:hAnsiTheme="minorHAnsi"/>
                <w:color w:val="000000"/>
                <w:sz w:val="20"/>
                <w:szCs w:val="20"/>
                <w:highlight w:val="cyan"/>
              </w:rPr>
            </w:pPr>
            <w:r w:rsidRPr="00737A7B">
              <w:rPr>
                <w:rFonts w:asciiTheme="minorHAnsi" w:hAnsiTheme="minorHAnsi"/>
                <w:color w:val="000000"/>
                <w:sz w:val="20"/>
                <w:szCs w:val="20"/>
              </w:rPr>
              <w:t xml:space="preserve">                DÁTUM: </w:t>
            </w:r>
            <w:r w:rsidRPr="00737A7B">
              <w:rPr>
                <w:rFonts w:asciiTheme="minorHAnsi" w:hAnsiTheme="minorHAnsi"/>
                <w:sz w:val="20"/>
                <w:szCs w:val="20"/>
              </w:rPr>
              <w:t>2025. március 21.</w:t>
            </w:r>
          </w:p>
        </w:tc>
      </w:tr>
    </w:tbl>
    <w:p w14:paraId="6D11450E" w14:textId="77777777" w:rsidR="00DD318F" w:rsidRPr="00737A7B" w:rsidRDefault="00DD318F" w:rsidP="00DD318F">
      <w:pPr>
        <w:rPr>
          <w:rFonts w:asciiTheme="minorHAnsi" w:hAnsiTheme="minorHAnsi"/>
          <w:color w:val="000000"/>
          <w:sz w:val="20"/>
          <w:szCs w:val="20"/>
        </w:rPr>
      </w:pPr>
    </w:p>
    <w:p w14:paraId="4A9317EE" w14:textId="0348F0CD" w:rsidR="00DD318F" w:rsidRPr="00737A7B" w:rsidRDefault="00DD318F" w:rsidP="007659C6">
      <w:pPr>
        <w:ind w:firstLine="708"/>
        <w:jc w:val="both"/>
        <w:rPr>
          <w:rFonts w:asciiTheme="minorHAnsi" w:hAnsiTheme="minorHAnsi"/>
          <w:sz w:val="20"/>
          <w:szCs w:val="20"/>
        </w:rPr>
      </w:pPr>
      <w:r w:rsidRPr="00737A7B">
        <w:rPr>
          <w:sz w:val="20"/>
          <w:szCs w:val="20"/>
        </w:rPr>
        <w:t>A tartományi közigazgatásról szóló tartományi képviselőházi rendelet (VAT Hivatalos Lapja, 37/2014., 54/2014. szám – más határozat, 37/2016., 29/2017., 24/2019., 66/2020. és 38/2021. szám) 15. szakasza, 16. szakaszának 5. bekezdése és 24. szakaszának 2. bekezdése, a Vajdaság autonóm tartományi alap- és középfokú oktatás és nevelés, valamint a diákjólét területét érintő programtevékenységek és projektek finanszírozására és társfinanszírozására irányuló költségvetési eszközök odaítéléséről szóló tartományi képviselőházi rendelet (VAT Hivatalos Lapja, 14/2015. és 10/2017. szám) 8. szakasza, továbbá a Tartományi, Oktatási, Jogalkotási, Közigazgatási és Nemzeti Kisebbségi – Nemzeti Közösségi Titkárság költségvetési eszközeinek a Vajdaság Autonóm Tartományban alapfokú formális felnőttoktatási tevékenységek szervezésére államilag elismert státussal rendelkező általános iskolák számára felszerelés beszerzésének finanszírozására és társfinanszírozására való odaítéléséről szóló szabályzata (VAT Hivatalos Lapja, 7/2025. szám) 9. szakasza alapján, a Vajdaság Autonóm Tartományban az alapfokú formális felnőttoktatási tevékenységek szervezésére államilag elismert státussal rendelkező általános iskolák számára felszerelés beszerzésének 2025. évi finanszírozására és társfinanszírozására vonatkozó lefolytatott Pályázat (VAT Hivatalos Lapja, 7/2025. szám) szerint, a tartományi oktatási, jogalkotási, közigazgatási és nemzeti kisebbségi – nemzeti közösségi titkár</w:t>
      </w:r>
    </w:p>
    <w:p w14:paraId="0809EA65" w14:textId="77777777" w:rsidR="00DD318F" w:rsidRPr="00737A7B" w:rsidRDefault="00DD318F" w:rsidP="00DD318F">
      <w:pPr>
        <w:jc w:val="both"/>
        <w:rPr>
          <w:rFonts w:asciiTheme="minorHAnsi" w:hAnsiTheme="minorHAnsi"/>
          <w:color w:val="000000"/>
          <w:sz w:val="20"/>
          <w:szCs w:val="20"/>
        </w:rPr>
      </w:pPr>
    </w:p>
    <w:p w14:paraId="7BBBD77B" w14:textId="59648668" w:rsidR="00737A7B" w:rsidRDefault="00737A7B" w:rsidP="00DD318F">
      <w:pPr>
        <w:jc w:val="center"/>
        <w:rPr>
          <w:rFonts w:asciiTheme="minorHAnsi" w:hAnsiTheme="minorHAnsi"/>
          <w:b/>
          <w:color w:val="000000"/>
          <w:sz w:val="20"/>
          <w:szCs w:val="20"/>
        </w:rPr>
      </w:pPr>
      <w:r>
        <w:rPr>
          <w:rFonts w:asciiTheme="minorHAnsi" w:hAnsiTheme="minorHAnsi"/>
          <w:b/>
          <w:color w:val="000000"/>
          <w:sz w:val="20"/>
          <w:szCs w:val="20"/>
        </w:rPr>
        <w:t>HATÁROZATOT</w:t>
      </w:r>
    </w:p>
    <w:p w14:paraId="7F71CB80" w14:textId="7A6E7CEF" w:rsidR="00DD318F" w:rsidRPr="00737A7B" w:rsidRDefault="00DD318F" w:rsidP="00DD318F">
      <w:pPr>
        <w:jc w:val="center"/>
        <w:rPr>
          <w:rFonts w:asciiTheme="minorHAnsi" w:hAnsiTheme="minorHAnsi"/>
          <w:b/>
          <w:color w:val="000000"/>
          <w:sz w:val="20"/>
          <w:szCs w:val="20"/>
        </w:rPr>
      </w:pPr>
      <w:r w:rsidRPr="00737A7B">
        <w:rPr>
          <w:rFonts w:asciiTheme="minorHAnsi" w:hAnsiTheme="minorHAnsi"/>
          <w:b/>
          <w:color w:val="000000"/>
          <w:sz w:val="20"/>
          <w:szCs w:val="20"/>
        </w:rPr>
        <w:t>hoz</w:t>
      </w:r>
    </w:p>
    <w:p w14:paraId="4B98F126" w14:textId="7510EC51" w:rsidR="00DD318F" w:rsidRPr="00737A7B" w:rsidRDefault="00DD318F" w:rsidP="00DD318F">
      <w:pPr>
        <w:tabs>
          <w:tab w:val="left" w:pos="3420"/>
        </w:tabs>
        <w:ind w:right="-214"/>
        <w:jc w:val="center"/>
        <w:rPr>
          <w:rFonts w:asciiTheme="minorHAnsi" w:hAnsiTheme="minorHAnsi"/>
          <w:b/>
          <w:color w:val="000000"/>
          <w:sz w:val="20"/>
          <w:szCs w:val="20"/>
        </w:rPr>
      </w:pPr>
      <w:r w:rsidRPr="00737A7B">
        <w:rPr>
          <w:rFonts w:asciiTheme="minorHAnsi" w:hAnsiTheme="minorHAnsi"/>
          <w:b/>
          <w:sz w:val="20"/>
          <w:szCs w:val="20"/>
        </w:rPr>
        <w:t>A TARTOMÁNYI, OKTATÁSI, JOGALKOTÁSI, KÖZIGAZGATÁSI ÉS NEMZETI KISEBBSÉGI – NEMZETI KÖZÖSSÉGI TITKÁRSÁG KÖLTSÉGVETÉSI ESZKÖZEINEK A VAJDASÁG AUTONÓM TARTOMÁNYBAN ALAPFOKÚ FORMÁLIS FELNŐTTOKTATÁSI TEVÉKENYSÉGEK SZERVEZÉSÉRE ÁLLAMILAG ELISMERT STÁTUSSAL RENDELKEZŐ ÁLTALÁNOS ISKOLÁK SZÁMÁRA FELSZERELÉS BESZERZÉSÉNEK 2025. ÉVI FINANSZÍROZÁSÁRA ÉS TÁRSFINANSZÍROZÁSÁRA VALÓ ODAÍTÉLÉSÉRŐL</w:t>
      </w:r>
    </w:p>
    <w:p w14:paraId="45681E30" w14:textId="77777777" w:rsidR="00DD318F" w:rsidRPr="00737A7B" w:rsidRDefault="00DD318F" w:rsidP="00DD318F">
      <w:pPr>
        <w:tabs>
          <w:tab w:val="left" w:pos="3420"/>
        </w:tabs>
        <w:ind w:right="-360"/>
        <w:jc w:val="center"/>
        <w:rPr>
          <w:rFonts w:asciiTheme="minorHAnsi" w:hAnsiTheme="minorHAnsi"/>
          <w:color w:val="000000"/>
          <w:sz w:val="20"/>
          <w:szCs w:val="20"/>
        </w:rPr>
      </w:pPr>
    </w:p>
    <w:p w14:paraId="465AFA0B" w14:textId="77777777" w:rsidR="00DD318F" w:rsidRPr="00737A7B" w:rsidRDefault="00DD318F" w:rsidP="00DD318F">
      <w:pPr>
        <w:jc w:val="center"/>
        <w:rPr>
          <w:rFonts w:asciiTheme="minorHAnsi" w:hAnsiTheme="minorHAnsi"/>
          <w:b/>
          <w:color w:val="000000"/>
          <w:sz w:val="20"/>
          <w:szCs w:val="20"/>
        </w:rPr>
      </w:pPr>
      <w:r w:rsidRPr="00737A7B">
        <w:rPr>
          <w:rFonts w:asciiTheme="minorHAnsi" w:hAnsiTheme="minorHAnsi"/>
          <w:b/>
          <w:color w:val="000000"/>
          <w:sz w:val="20"/>
          <w:szCs w:val="20"/>
        </w:rPr>
        <w:t>I.</w:t>
      </w:r>
    </w:p>
    <w:p w14:paraId="2B375356" w14:textId="77777777" w:rsidR="00DD318F" w:rsidRPr="00737A7B" w:rsidRDefault="00DD318F" w:rsidP="00DD318F">
      <w:pPr>
        <w:jc w:val="center"/>
        <w:rPr>
          <w:rFonts w:asciiTheme="minorHAnsi" w:hAnsiTheme="minorHAnsi"/>
          <w:b/>
          <w:color w:val="000000"/>
          <w:sz w:val="20"/>
          <w:szCs w:val="20"/>
        </w:rPr>
      </w:pPr>
    </w:p>
    <w:p w14:paraId="0484CDD5" w14:textId="6A124CE6" w:rsidR="00DD318F" w:rsidRPr="00737A7B" w:rsidRDefault="00DD318F" w:rsidP="00162392">
      <w:pPr>
        <w:ind w:right="15" w:firstLine="708"/>
        <w:jc w:val="both"/>
        <w:rPr>
          <w:rFonts w:asciiTheme="minorHAnsi" w:hAnsiTheme="minorHAnsi"/>
          <w:sz w:val="20"/>
          <w:szCs w:val="20"/>
        </w:rPr>
      </w:pPr>
      <w:r w:rsidRPr="00737A7B">
        <w:rPr>
          <w:rFonts w:asciiTheme="minorHAnsi" w:hAnsiTheme="minorHAnsi"/>
          <w:sz w:val="20"/>
          <w:szCs w:val="20"/>
        </w:rPr>
        <w:t>Jelen határozat megállapítja a Tartományi Oktatási, Jogalkotási, Közigazgatási és Nemzeti Kisebbségi – Nemzeti Közösségi Titkárság költségvetési eszközeinek a Vajdaság Autonóm Tartományban az alapfokú formális felnőttoktatási tevékenységek szervezésére államilag elismert státussal rendelkező általános iskolák számára felszerelés beszerzésének 2025. évi finanszírozására és társfinanszírozására vonatkozó Pályázat (VAT Hivatalos Lapja, 7/2025. szám – a továbbiakban: Pályázat) szerinti felosztását.</w:t>
      </w:r>
    </w:p>
    <w:p w14:paraId="75D911B5" w14:textId="77777777" w:rsidR="00DD318F" w:rsidRPr="00737A7B" w:rsidRDefault="00DD318F" w:rsidP="0008350E">
      <w:pPr>
        <w:tabs>
          <w:tab w:val="left" w:pos="3600"/>
          <w:tab w:val="left" w:pos="3960"/>
        </w:tabs>
        <w:ind w:right="15"/>
        <w:jc w:val="both"/>
        <w:rPr>
          <w:rFonts w:asciiTheme="minorHAnsi" w:hAnsiTheme="minorHAnsi"/>
          <w:i/>
          <w:color w:val="000000"/>
          <w:sz w:val="20"/>
          <w:szCs w:val="20"/>
        </w:rPr>
      </w:pPr>
    </w:p>
    <w:p w14:paraId="238948D6" w14:textId="77777777" w:rsidR="00DD318F" w:rsidRPr="00737A7B" w:rsidRDefault="00DD318F" w:rsidP="0008350E">
      <w:pPr>
        <w:ind w:right="15"/>
        <w:jc w:val="center"/>
        <w:rPr>
          <w:rFonts w:asciiTheme="minorHAnsi" w:hAnsiTheme="minorHAnsi"/>
          <w:b/>
          <w:color w:val="000000"/>
          <w:sz w:val="20"/>
          <w:szCs w:val="20"/>
        </w:rPr>
      </w:pPr>
      <w:r w:rsidRPr="00737A7B">
        <w:rPr>
          <w:rFonts w:asciiTheme="minorHAnsi" w:hAnsiTheme="minorHAnsi"/>
          <w:b/>
          <w:color w:val="000000"/>
          <w:sz w:val="20"/>
          <w:szCs w:val="20"/>
        </w:rPr>
        <w:t>II.</w:t>
      </w:r>
    </w:p>
    <w:p w14:paraId="64BC0BC9" w14:textId="77777777" w:rsidR="00DD318F" w:rsidRPr="00737A7B" w:rsidRDefault="00DD318F" w:rsidP="0008350E">
      <w:pPr>
        <w:ind w:right="15"/>
        <w:jc w:val="center"/>
        <w:rPr>
          <w:rFonts w:asciiTheme="minorHAnsi" w:hAnsiTheme="minorHAnsi"/>
          <w:b/>
          <w:color w:val="000000"/>
          <w:sz w:val="20"/>
          <w:szCs w:val="20"/>
        </w:rPr>
      </w:pPr>
    </w:p>
    <w:p w14:paraId="1D1D1A41" w14:textId="478F38E0" w:rsidR="00DD318F" w:rsidRPr="00737A7B" w:rsidRDefault="00DD318F" w:rsidP="0008350E">
      <w:pPr>
        <w:ind w:right="15" w:firstLine="708"/>
        <w:jc w:val="both"/>
        <w:rPr>
          <w:rFonts w:asciiTheme="minorHAnsi" w:hAnsiTheme="minorHAnsi"/>
          <w:b/>
          <w:color w:val="000000"/>
          <w:sz w:val="20"/>
          <w:szCs w:val="20"/>
        </w:rPr>
      </w:pPr>
      <w:r w:rsidRPr="00737A7B">
        <w:rPr>
          <w:rFonts w:asciiTheme="minorHAnsi" w:hAnsiTheme="minorHAnsi"/>
          <w:sz w:val="20"/>
          <w:szCs w:val="20"/>
        </w:rPr>
        <w:t xml:space="preserve">Pályázattal a jelen határozat 1. pontjában foglalt rendeltetésre </w:t>
      </w:r>
      <w:r w:rsidRPr="00737A7B">
        <w:rPr>
          <w:rFonts w:asciiTheme="minorHAnsi" w:hAnsiTheme="minorHAnsi"/>
          <w:b/>
          <w:bCs/>
          <w:sz w:val="20"/>
          <w:szCs w:val="20"/>
        </w:rPr>
        <w:t>összesen 2.000.000,00 dinár összeg</w:t>
      </w:r>
      <w:r w:rsidRPr="00737A7B">
        <w:rPr>
          <w:rFonts w:asciiTheme="minorHAnsi" w:hAnsiTheme="minorHAnsi"/>
          <w:sz w:val="20"/>
          <w:szCs w:val="20"/>
        </w:rPr>
        <w:t xml:space="preserve"> került elkülönítésre. </w:t>
      </w:r>
    </w:p>
    <w:p w14:paraId="0084E93D" w14:textId="77777777" w:rsidR="00BA171C" w:rsidRPr="00737A7B" w:rsidRDefault="00DD318F" w:rsidP="00B20F70">
      <w:pPr>
        <w:ind w:right="15" w:firstLine="708"/>
        <w:jc w:val="both"/>
        <w:rPr>
          <w:rFonts w:asciiTheme="minorHAnsi" w:hAnsiTheme="minorHAnsi"/>
          <w:sz w:val="20"/>
          <w:szCs w:val="20"/>
        </w:rPr>
      </w:pPr>
      <w:r w:rsidRPr="00737A7B">
        <w:rPr>
          <w:rFonts w:asciiTheme="minorHAnsi" w:hAnsiTheme="minorHAnsi"/>
          <w:sz w:val="20"/>
          <w:szCs w:val="20"/>
        </w:rPr>
        <w:t>Az eszközök a Szerb Köztársaság, Vajdaság Autonóm Tartomány és a helyi önkormányzat által alapított, Vajdaság Autonóm Tartományban alapfokú formális felnőttoktatási tevékenységek szervezésére államilag elismert státusszal rendelkező általános iskolák (a továbbiakban: felhasználók) részére kerültek jóváhagyásra, éspedig az alábbi táblázatban szemléltetett rendeltetésekre és összegekben:</w:t>
      </w:r>
    </w:p>
    <w:p w14:paraId="05F4706D" w14:textId="7A3C2BBB" w:rsidR="005B240F" w:rsidRPr="00737A7B" w:rsidRDefault="00BA171C" w:rsidP="00DD318F">
      <w:pPr>
        <w:spacing w:after="200" w:line="276" w:lineRule="auto"/>
        <w:rPr>
          <w:rFonts w:asciiTheme="minorHAnsi" w:hAnsiTheme="minorHAnsi"/>
          <w:sz w:val="20"/>
          <w:szCs w:val="20"/>
        </w:rPr>
      </w:pPr>
      <w:r w:rsidRPr="00737A7B">
        <w:br w:type="page"/>
      </w:r>
    </w:p>
    <w:tbl>
      <w:tblPr>
        <w:tblStyle w:val="TableGrid"/>
        <w:tblW w:w="9216" w:type="dxa"/>
        <w:jc w:val="center"/>
        <w:tblLook w:val="04A0" w:firstRow="1" w:lastRow="0" w:firstColumn="1" w:lastColumn="0" w:noHBand="0" w:noVBand="1"/>
      </w:tblPr>
      <w:tblGrid>
        <w:gridCol w:w="2882"/>
        <w:gridCol w:w="2214"/>
        <w:gridCol w:w="1662"/>
        <w:gridCol w:w="2458"/>
      </w:tblGrid>
      <w:tr w:rsidR="005F69BB" w:rsidRPr="00737A7B" w14:paraId="216EAAEA" w14:textId="77777777" w:rsidTr="009B17D6">
        <w:trPr>
          <w:trHeight w:val="583"/>
          <w:jc w:val="center"/>
        </w:trPr>
        <w:tc>
          <w:tcPr>
            <w:tcW w:w="2882" w:type="dxa"/>
            <w:vAlign w:val="center"/>
          </w:tcPr>
          <w:p w14:paraId="7A38F6AB" w14:textId="77777777" w:rsidR="005F69BB" w:rsidRPr="00737A7B" w:rsidRDefault="005F69BB" w:rsidP="009B17D6">
            <w:pPr>
              <w:rPr>
                <w:b/>
                <w:sz w:val="20"/>
                <w:szCs w:val="20"/>
              </w:rPr>
            </w:pPr>
            <w:r w:rsidRPr="00737A7B">
              <w:rPr>
                <w:b/>
                <w:sz w:val="20"/>
                <w:szCs w:val="20"/>
              </w:rPr>
              <w:lastRenderedPageBreak/>
              <w:t>AZ ISKOLA ELNEVEZÉSE</w:t>
            </w:r>
          </w:p>
        </w:tc>
        <w:tc>
          <w:tcPr>
            <w:tcW w:w="2214" w:type="dxa"/>
            <w:noWrap/>
            <w:vAlign w:val="center"/>
          </w:tcPr>
          <w:p w14:paraId="765BFBFF" w14:textId="77777777" w:rsidR="005F69BB" w:rsidRPr="00737A7B" w:rsidRDefault="005F69BB" w:rsidP="009B17D6">
            <w:pPr>
              <w:jc w:val="center"/>
              <w:rPr>
                <w:b/>
                <w:color w:val="000000"/>
                <w:sz w:val="20"/>
                <w:szCs w:val="20"/>
              </w:rPr>
            </w:pPr>
            <w:r w:rsidRPr="00737A7B">
              <w:rPr>
                <w:b/>
                <w:color w:val="000000"/>
                <w:sz w:val="20"/>
                <w:szCs w:val="20"/>
              </w:rPr>
              <w:t>HELYSÉG</w:t>
            </w:r>
          </w:p>
        </w:tc>
        <w:tc>
          <w:tcPr>
            <w:tcW w:w="1662" w:type="dxa"/>
            <w:vAlign w:val="center"/>
          </w:tcPr>
          <w:p w14:paraId="41DF6BD5" w14:textId="77777777" w:rsidR="005F69BB" w:rsidRPr="00737A7B" w:rsidRDefault="005F69BB" w:rsidP="009B17D6">
            <w:pPr>
              <w:jc w:val="center"/>
              <w:rPr>
                <w:b/>
                <w:sz w:val="20"/>
                <w:szCs w:val="20"/>
              </w:rPr>
            </w:pPr>
            <w:r w:rsidRPr="00737A7B">
              <w:rPr>
                <w:b/>
                <w:sz w:val="20"/>
                <w:szCs w:val="20"/>
              </w:rPr>
              <w:t>AZ ODAÍTÉLT ESZKÖZÖK ÖSSZEGE</w:t>
            </w:r>
          </w:p>
        </w:tc>
        <w:tc>
          <w:tcPr>
            <w:tcW w:w="2458" w:type="dxa"/>
          </w:tcPr>
          <w:p w14:paraId="3338B082" w14:textId="77777777" w:rsidR="005F69BB" w:rsidRPr="00737A7B" w:rsidRDefault="005F69BB" w:rsidP="009B17D6">
            <w:pPr>
              <w:rPr>
                <w:b/>
                <w:sz w:val="20"/>
                <w:szCs w:val="20"/>
              </w:rPr>
            </w:pPr>
          </w:p>
          <w:p w14:paraId="20D834CF" w14:textId="77777777" w:rsidR="005F69BB" w:rsidRPr="00737A7B" w:rsidRDefault="005F69BB" w:rsidP="009B17D6">
            <w:pPr>
              <w:jc w:val="center"/>
              <w:rPr>
                <w:b/>
                <w:sz w:val="20"/>
                <w:szCs w:val="20"/>
              </w:rPr>
            </w:pPr>
            <w:r w:rsidRPr="00737A7B">
              <w:rPr>
                <w:b/>
                <w:sz w:val="20"/>
                <w:szCs w:val="20"/>
              </w:rPr>
              <w:t>RENDELTETÉS</w:t>
            </w:r>
          </w:p>
        </w:tc>
      </w:tr>
      <w:tr w:rsidR="005F69BB" w:rsidRPr="00737A7B" w14:paraId="6A34827C" w14:textId="77777777" w:rsidTr="009B17D6">
        <w:trPr>
          <w:trHeight w:val="442"/>
          <w:jc w:val="center"/>
        </w:trPr>
        <w:tc>
          <w:tcPr>
            <w:tcW w:w="2882" w:type="dxa"/>
            <w:hideMark/>
          </w:tcPr>
          <w:p w14:paraId="2D9F91F3" w14:textId="77777777" w:rsidR="005F69BB" w:rsidRPr="00737A7B" w:rsidRDefault="005F69BB" w:rsidP="009B17D6">
            <w:pPr>
              <w:rPr>
                <w:sz w:val="20"/>
                <w:szCs w:val="20"/>
              </w:rPr>
            </w:pPr>
            <w:r w:rsidRPr="00737A7B">
              <w:rPr>
                <w:sz w:val="20"/>
                <w:szCs w:val="20"/>
              </w:rPr>
              <w:t>PETŐFI SÁNDOR ÁI</w:t>
            </w:r>
          </w:p>
        </w:tc>
        <w:tc>
          <w:tcPr>
            <w:tcW w:w="2214" w:type="dxa"/>
            <w:noWrap/>
            <w:hideMark/>
          </w:tcPr>
          <w:p w14:paraId="5DAEE0EE" w14:textId="77777777" w:rsidR="005F69BB" w:rsidRPr="00737A7B" w:rsidRDefault="005F69BB" w:rsidP="009B17D6">
            <w:pPr>
              <w:jc w:val="center"/>
              <w:rPr>
                <w:sz w:val="20"/>
                <w:szCs w:val="20"/>
              </w:rPr>
            </w:pPr>
            <w:r w:rsidRPr="00737A7B">
              <w:rPr>
                <w:sz w:val="20"/>
                <w:szCs w:val="20"/>
              </w:rPr>
              <w:t>Zenta</w:t>
            </w:r>
          </w:p>
        </w:tc>
        <w:tc>
          <w:tcPr>
            <w:tcW w:w="1662" w:type="dxa"/>
            <w:hideMark/>
          </w:tcPr>
          <w:p w14:paraId="18F7F982" w14:textId="77777777" w:rsidR="005F69BB" w:rsidRPr="00737A7B" w:rsidRDefault="005F69BB" w:rsidP="009B17D6">
            <w:pPr>
              <w:jc w:val="right"/>
              <w:rPr>
                <w:sz w:val="20"/>
                <w:szCs w:val="20"/>
              </w:rPr>
            </w:pPr>
            <w:r w:rsidRPr="00737A7B">
              <w:rPr>
                <w:sz w:val="20"/>
                <w:szCs w:val="20"/>
              </w:rPr>
              <w:t>118 000,00</w:t>
            </w:r>
          </w:p>
        </w:tc>
        <w:tc>
          <w:tcPr>
            <w:tcW w:w="2458" w:type="dxa"/>
          </w:tcPr>
          <w:p w14:paraId="7C2BAB0B" w14:textId="77777777" w:rsidR="005F69BB" w:rsidRPr="00737A7B" w:rsidRDefault="005F69BB" w:rsidP="009B17D6">
            <w:pPr>
              <w:jc w:val="both"/>
              <w:rPr>
                <w:sz w:val="20"/>
                <w:szCs w:val="20"/>
              </w:rPr>
            </w:pPr>
            <w:r w:rsidRPr="00737A7B">
              <w:rPr>
                <w:sz w:val="20"/>
                <w:szCs w:val="20"/>
              </w:rPr>
              <w:t>Fehér mágneses tábla</w:t>
            </w:r>
          </w:p>
          <w:p w14:paraId="324DB564" w14:textId="77777777" w:rsidR="005F69BB" w:rsidRPr="00737A7B" w:rsidRDefault="005F69BB" w:rsidP="009B17D6">
            <w:pPr>
              <w:jc w:val="both"/>
              <w:rPr>
                <w:sz w:val="20"/>
                <w:szCs w:val="20"/>
              </w:rPr>
            </w:pPr>
            <w:r w:rsidRPr="00737A7B">
              <w:rPr>
                <w:sz w:val="20"/>
                <w:szCs w:val="20"/>
              </w:rPr>
              <w:t>Filament</w:t>
            </w:r>
          </w:p>
        </w:tc>
      </w:tr>
      <w:tr w:rsidR="005F69BB" w:rsidRPr="00737A7B" w14:paraId="640CE104" w14:textId="77777777" w:rsidTr="009B17D6">
        <w:trPr>
          <w:trHeight w:val="442"/>
          <w:jc w:val="center"/>
        </w:trPr>
        <w:tc>
          <w:tcPr>
            <w:tcW w:w="2882" w:type="dxa"/>
          </w:tcPr>
          <w:p w14:paraId="48E4D2D0" w14:textId="0E18EB13" w:rsidR="005F69BB" w:rsidRPr="00737A7B" w:rsidRDefault="00737A7B" w:rsidP="000E6951">
            <w:pPr>
              <w:rPr>
                <w:sz w:val="20"/>
                <w:szCs w:val="20"/>
              </w:rPr>
            </w:pPr>
            <w:r w:rsidRPr="00737A7B">
              <w:rPr>
                <w:sz w:val="20"/>
                <w:szCs w:val="20"/>
              </w:rPr>
              <w:t xml:space="preserve">JOVAN JOVANOVIĆ ZMAJ </w:t>
            </w:r>
            <w:r w:rsidR="005F69BB" w:rsidRPr="00737A7B">
              <w:rPr>
                <w:sz w:val="20"/>
                <w:szCs w:val="20"/>
              </w:rPr>
              <w:t>ÁI</w:t>
            </w:r>
          </w:p>
        </w:tc>
        <w:tc>
          <w:tcPr>
            <w:tcW w:w="2214" w:type="dxa"/>
            <w:noWrap/>
          </w:tcPr>
          <w:p w14:paraId="0D784F8E" w14:textId="77777777" w:rsidR="005F69BB" w:rsidRPr="00737A7B" w:rsidRDefault="005F69BB" w:rsidP="009B17D6">
            <w:pPr>
              <w:jc w:val="center"/>
              <w:rPr>
                <w:sz w:val="20"/>
                <w:szCs w:val="20"/>
              </w:rPr>
            </w:pPr>
            <w:r w:rsidRPr="00737A7B">
              <w:rPr>
                <w:sz w:val="20"/>
                <w:szCs w:val="20"/>
              </w:rPr>
              <w:t>Istvánvölgy</w:t>
            </w:r>
          </w:p>
        </w:tc>
        <w:tc>
          <w:tcPr>
            <w:tcW w:w="1662" w:type="dxa"/>
          </w:tcPr>
          <w:p w14:paraId="5B90B3D4" w14:textId="77777777" w:rsidR="005F69BB" w:rsidRPr="00737A7B" w:rsidRDefault="005F69BB" w:rsidP="009B17D6">
            <w:pPr>
              <w:jc w:val="right"/>
              <w:rPr>
                <w:sz w:val="20"/>
                <w:szCs w:val="20"/>
              </w:rPr>
            </w:pPr>
            <w:r w:rsidRPr="00737A7B">
              <w:rPr>
                <w:sz w:val="20"/>
                <w:szCs w:val="20"/>
              </w:rPr>
              <w:t>120 000,00</w:t>
            </w:r>
          </w:p>
        </w:tc>
        <w:tc>
          <w:tcPr>
            <w:tcW w:w="2458" w:type="dxa"/>
          </w:tcPr>
          <w:p w14:paraId="594FC386" w14:textId="77777777" w:rsidR="005F69BB" w:rsidRPr="00737A7B" w:rsidRDefault="005F69BB" w:rsidP="009B17D6">
            <w:pPr>
              <w:jc w:val="both"/>
              <w:rPr>
                <w:sz w:val="20"/>
                <w:szCs w:val="20"/>
              </w:rPr>
            </w:pPr>
            <w:r w:rsidRPr="00737A7B">
              <w:rPr>
                <w:sz w:val="20"/>
                <w:szCs w:val="20"/>
              </w:rPr>
              <w:t>Asztali számítógép</w:t>
            </w:r>
          </w:p>
        </w:tc>
      </w:tr>
      <w:tr w:rsidR="005F69BB" w:rsidRPr="00737A7B" w14:paraId="5E66DAEB" w14:textId="77777777" w:rsidTr="009B17D6">
        <w:trPr>
          <w:trHeight w:val="445"/>
          <w:jc w:val="center"/>
        </w:trPr>
        <w:tc>
          <w:tcPr>
            <w:tcW w:w="2882" w:type="dxa"/>
            <w:noWrap/>
          </w:tcPr>
          <w:p w14:paraId="5D214186" w14:textId="77777777" w:rsidR="005F69BB" w:rsidRPr="00737A7B" w:rsidRDefault="005F69BB" w:rsidP="009B17D6">
            <w:pPr>
              <w:rPr>
                <w:sz w:val="20"/>
                <w:szCs w:val="20"/>
              </w:rPr>
            </w:pPr>
            <w:r w:rsidRPr="00737A7B">
              <w:rPr>
                <w:sz w:val="20"/>
                <w:szCs w:val="20"/>
              </w:rPr>
              <w:t>ALAPFOKÚ FELNŐTTOKTATÁSI ISKOLA</w:t>
            </w:r>
          </w:p>
        </w:tc>
        <w:tc>
          <w:tcPr>
            <w:tcW w:w="2214" w:type="dxa"/>
            <w:noWrap/>
          </w:tcPr>
          <w:p w14:paraId="5FDBA12C" w14:textId="77777777" w:rsidR="005F69BB" w:rsidRPr="00737A7B" w:rsidRDefault="005F69BB" w:rsidP="009B17D6">
            <w:pPr>
              <w:jc w:val="center"/>
              <w:rPr>
                <w:sz w:val="20"/>
                <w:szCs w:val="20"/>
              </w:rPr>
            </w:pPr>
            <w:r w:rsidRPr="00737A7B">
              <w:rPr>
                <w:sz w:val="20"/>
                <w:szCs w:val="20"/>
              </w:rPr>
              <w:t>Zombor</w:t>
            </w:r>
          </w:p>
        </w:tc>
        <w:tc>
          <w:tcPr>
            <w:tcW w:w="1662" w:type="dxa"/>
            <w:noWrap/>
          </w:tcPr>
          <w:p w14:paraId="07C2F99E" w14:textId="77777777" w:rsidR="005F69BB" w:rsidRPr="00737A7B" w:rsidRDefault="005F69BB" w:rsidP="009B17D6">
            <w:pPr>
              <w:jc w:val="right"/>
              <w:rPr>
                <w:sz w:val="20"/>
                <w:szCs w:val="20"/>
              </w:rPr>
            </w:pPr>
            <w:r w:rsidRPr="00737A7B">
              <w:rPr>
                <w:sz w:val="20"/>
                <w:szCs w:val="20"/>
              </w:rPr>
              <w:t>190 000,00</w:t>
            </w:r>
          </w:p>
        </w:tc>
        <w:tc>
          <w:tcPr>
            <w:tcW w:w="2458" w:type="dxa"/>
          </w:tcPr>
          <w:p w14:paraId="5DEED3B3" w14:textId="77777777" w:rsidR="005F69BB" w:rsidRPr="00737A7B" w:rsidRDefault="005F69BB" w:rsidP="009B17D6">
            <w:pPr>
              <w:rPr>
                <w:sz w:val="20"/>
                <w:szCs w:val="20"/>
              </w:rPr>
            </w:pPr>
            <w:r w:rsidRPr="00737A7B">
              <w:rPr>
                <w:sz w:val="20"/>
                <w:szCs w:val="20"/>
              </w:rPr>
              <w:t xml:space="preserve">ASUS X1504 ZA-NJ865 i3 1215 u, 8GB 512 GB, valamint </w:t>
            </w:r>
          </w:p>
          <w:p w14:paraId="2E3C67CC" w14:textId="77777777" w:rsidR="005F69BB" w:rsidRPr="00737A7B" w:rsidRDefault="005F69BB" w:rsidP="009B17D6">
            <w:pPr>
              <w:rPr>
                <w:sz w:val="20"/>
                <w:szCs w:val="20"/>
              </w:rPr>
            </w:pPr>
            <w:r w:rsidRPr="00737A7B">
              <w:rPr>
                <w:sz w:val="20"/>
                <w:szCs w:val="20"/>
              </w:rPr>
              <w:t>KT-200P projektor mini HD Led - 4 darab</w:t>
            </w:r>
          </w:p>
        </w:tc>
      </w:tr>
      <w:tr w:rsidR="005F69BB" w:rsidRPr="00737A7B" w14:paraId="59B1D349" w14:textId="77777777" w:rsidTr="009B17D6">
        <w:trPr>
          <w:trHeight w:val="600"/>
          <w:jc w:val="center"/>
        </w:trPr>
        <w:tc>
          <w:tcPr>
            <w:tcW w:w="2882" w:type="dxa"/>
            <w:noWrap/>
            <w:hideMark/>
          </w:tcPr>
          <w:p w14:paraId="2AE95319" w14:textId="77777777" w:rsidR="005F69BB" w:rsidRPr="00737A7B" w:rsidRDefault="005F69BB" w:rsidP="009B17D6">
            <w:pPr>
              <w:rPr>
                <w:sz w:val="20"/>
                <w:szCs w:val="20"/>
              </w:rPr>
            </w:pPr>
            <w:r w:rsidRPr="00737A7B">
              <w:rPr>
                <w:sz w:val="20"/>
                <w:szCs w:val="20"/>
              </w:rPr>
              <w:t>TÖMÖRKÉNY ISTVÁN ÁI</w:t>
            </w:r>
          </w:p>
        </w:tc>
        <w:tc>
          <w:tcPr>
            <w:tcW w:w="2214" w:type="dxa"/>
            <w:noWrap/>
            <w:hideMark/>
          </w:tcPr>
          <w:p w14:paraId="5425A4DF" w14:textId="77777777" w:rsidR="005F69BB" w:rsidRPr="00737A7B" w:rsidRDefault="005F69BB" w:rsidP="009B17D6">
            <w:pPr>
              <w:jc w:val="center"/>
              <w:rPr>
                <w:sz w:val="20"/>
                <w:szCs w:val="20"/>
              </w:rPr>
            </w:pPr>
            <w:r w:rsidRPr="00737A7B">
              <w:rPr>
                <w:sz w:val="20"/>
                <w:szCs w:val="20"/>
              </w:rPr>
              <w:t>Tornyos</w:t>
            </w:r>
          </w:p>
        </w:tc>
        <w:tc>
          <w:tcPr>
            <w:tcW w:w="1662" w:type="dxa"/>
            <w:noWrap/>
            <w:hideMark/>
          </w:tcPr>
          <w:p w14:paraId="4332E118" w14:textId="77777777" w:rsidR="005F69BB" w:rsidRPr="00737A7B" w:rsidRDefault="005F69BB" w:rsidP="009B17D6">
            <w:pPr>
              <w:jc w:val="right"/>
              <w:rPr>
                <w:sz w:val="20"/>
                <w:szCs w:val="20"/>
              </w:rPr>
            </w:pPr>
            <w:r w:rsidRPr="00737A7B">
              <w:rPr>
                <w:sz w:val="20"/>
                <w:szCs w:val="20"/>
              </w:rPr>
              <w:t>210 000,00</w:t>
            </w:r>
          </w:p>
        </w:tc>
        <w:tc>
          <w:tcPr>
            <w:tcW w:w="2458" w:type="dxa"/>
          </w:tcPr>
          <w:p w14:paraId="11F226A5" w14:textId="77777777" w:rsidR="005F69BB" w:rsidRPr="00737A7B" w:rsidRDefault="005F69BB" w:rsidP="009B17D6">
            <w:pPr>
              <w:rPr>
                <w:color w:val="000000"/>
                <w:sz w:val="20"/>
                <w:szCs w:val="20"/>
              </w:rPr>
            </w:pPr>
            <w:r w:rsidRPr="00737A7B">
              <w:rPr>
                <w:color w:val="000000"/>
                <w:sz w:val="20"/>
                <w:szCs w:val="20"/>
              </w:rPr>
              <w:t>Fehér mágneses tábla vision 240x120</w:t>
            </w:r>
          </w:p>
          <w:p w14:paraId="11C14204" w14:textId="77777777" w:rsidR="005F69BB" w:rsidRPr="00737A7B" w:rsidRDefault="005F69BB" w:rsidP="009B17D6">
            <w:pPr>
              <w:rPr>
                <w:color w:val="000000"/>
                <w:sz w:val="20"/>
                <w:szCs w:val="20"/>
              </w:rPr>
            </w:pPr>
            <w:r w:rsidRPr="00737A7B">
              <w:rPr>
                <w:color w:val="000000"/>
                <w:sz w:val="20"/>
                <w:szCs w:val="20"/>
              </w:rPr>
              <w:t xml:space="preserve">Fehér mágneses tábla vision 120x90 </w:t>
            </w:r>
          </w:p>
          <w:p w14:paraId="3E0E3E2A" w14:textId="77777777" w:rsidR="005F69BB" w:rsidRPr="00737A7B" w:rsidRDefault="005F69BB" w:rsidP="009B17D6">
            <w:pPr>
              <w:rPr>
                <w:color w:val="000000"/>
                <w:sz w:val="20"/>
                <w:szCs w:val="20"/>
              </w:rPr>
            </w:pPr>
            <w:r w:rsidRPr="00737A7B">
              <w:rPr>
                <w:color w:val="000000"/>
                <w:sz w:val="20"/>
                <w:szCs w:val="20"/>
              </w:rPr>
              <w:t xml:space="preserve">Iskolai szék ST2, iskolai pad SK1, táblai szögmérő, </w:t>
            </w:r>
          </w:p>
          <w:p w14:paraId="43739944" w14:textId="77777777" w:rsidR="005F69BB" w:rsidRPr="00737A7B" w:rsidRDefault="005F69BB" w:rsidP="009B17D6">
            <w:pPr>
              <w:rPr>
                <w:color w:val="000000"/>
                <w:sz w:val="20"/>
                <w:szCs w:val="20"/>
              </w:rPr>
            </w:pPr>
            <w:r w:rsidRPr="00737A7B">
              <w:rPr>
                <w:color w:val="000000"/>
                <w:sz w:val="20"/>
                <w:szCs w:val="20"/>
              </w:rPr>
              <w:t xml:space="preserve">Iskolai körző mágnessel, </w:t>
            </w:r>
          </w:p>
          <w:p w14:paraId="44CB8E89" w14:textId="77777777" w:rsidR="005F69BB" w:rsidRPr="00737A7B" w:rsidRDefault="005F69BB" w:rsidP="009B17D6">
            <w:pPr>
              <w:rPr>
                <w:color w:val="000000"/>
                <w:sz w:val="20"/>
                <w:szCs w:val="20"/>
              </w:rPr>
            </w:pPr>
            <w:r w:rsidRPr="00737A7B">
              <w:rPr>
                <w:color w:val="000000"/>
                <w:sz w:val="20"/>
                <w:szCs w:val="20"/>
              </w:rPr>
              <w:t xml:space="preserve">100 cm-es táblai vonalzó, </w:t>
            </w:r>
          </w:p>
          <w:p w14:paraId="25C38AD5" w14:textId="3BBD316A" w:rsidR="005F69BB" w:rsidRPr="00737A7B" w:rsidRDefault="005F69BB" w:rsidP="000E6951">
            <w:pPr>
              <w:rPr>
                <w:sz w:val="20"/>
                <w:szCs w:val="20"/>
              </w:rPr>
            </w:pPr>
            <w:r w:rsidRPr="00737A7B">
              <w:rPr>
                <w:color w:val="000000"/>
                <w:sz w:val="20"/>
                <w:szCs w:val="20"/>
              </w:rPr>
              <w:t xml:space="preserve">mágnes 9795/10 </w:t>
            </w:r>
          </w:p>
        </w:tc>
      </w:tr>
      <w:tr w:rsidR="005F69BB" w:rsidRPr="00737A7B" w14:paraId="32AA9EBC" w14:textId="77777777" w:rsidTr="009B17D6">
        <w:trPr>
          <w:trHeight w:val="600"/>
          <w:jc w:val="center"/>
        </w:trPr>
        <w:tc>
          <w:tcPr>
            <w:tcW w:w="2882" w:type="dxa"/>
            <w:noWrap/>
            <w:hideMark/>
          </w:tcPr>
          <w:p w14:paraId="1603836B" w14:textId="0BB8387C" w:rsidR="005F69BB" w:rsidRPr="00737A7B" w:rsidRDefault="00737A7B" w:rsidP="009B17D6">
            <w:pPr>
              <w:rPr>
                <w:sz w:val="20"/>
                <w:szCs w:val="20"/>
              </w:rPr>
            </w:pPr>
            <w:r w:rsidRPr="00737A7B">
              <w:rPr>
                <w:sz w:val="20"/>
                <w:szCs w:val="20"/>
              </w:rPr>
              <w:t xml:space="preserve">MILETA PROTIĆ </w:t>
            </w:r>
            <w:r w:rsidR="005F69BB" w:rsidRPr="00737A7B">
              <w:rPr>
                <w:sz w:val="20"/>
                <w:szCs w:val="20"/>
              </w:rPr>
              <w:t>ÁI</w:t>
            </w:r>
          </w:p>
        </w:tc>
        <w:tc>
          <w:tcPr>
            <w:tcW w:w="2214" w:type="dxa"/>
            <w:noWrap/>
            <w:hideMark/>
          </w:tcPr>
          <w:p w14:paraId="1FD568EE" w14:textId="77777777" w:rsidR="005F69BB" w:rsidRPr="00737A7B" w:rsidRDefault="005F69BB" w:rsidP="009B17D6">
            <w:pPr>
              <w:jc w:val="center"/>
              <w:rPr>
                <w:sz w:val="20"/>
                <w:szCs w:val="20"/>
              </w:rPr>
            </w:pPr>
            <w:r w:rsidRPr="00737A7B">
              <w:rPr>
                <w:sz w:val="20"/>
                <w:szCs w:val="20"/>
              </w:rPr>
              <w:t>Bácstóváros</w:t>
            </w:r>
          </w:p>
        </w:tc>
        <w:tc>
          <w:tcPr>
            <w:tcW w:w="1662" w:type="dxa"/>
            <w:noWrap/>
            <w:hideMark/>
          </w:tcPr>
          <w:p w14:paraId="592729C2" w14:textId="77777777" w:rsidR="005F69BB" w:rsidRPr="00737A7B" w:rsidRDefault="005F69BB" w:rsidP="009B17D6">
            <w:pPr>
              <w:jc w:val="right"/>
              <w:rPr>
                <w:sz w:val="20"/>
                <w:szCs w:val="20"/>
              </w:rPr>
            </w:pPr>
            <w:r w:rsidRPr="00737A7B">
              <w:rPr>
                <w:sz w:val="20"/>
                <w:szCs w:val="20"/>
              </w:rPr>
              <w:t>115 000,00</w:t>
            </w:r>
          </w:p>
        </w:tc>
        <w:tc>
          <w:tcPr>
            <w:tcW w:w="2458" w:type="dxa"/>
          </w:tcPr>
          <w:p w14:paraId="4E79D343" w14:textId="77777777" w:rsidR="005F69BB" w:rsidRPr="00737A7B" w:rsidRDefault="005F69BB" w:rsidP="009B17D6">
            <w:pPr>
              <w:jc w:val="both"/>
              <w:rPr>
                <w:sz w:val="20"/>
                <w:szCs w:val="20"/>
              </w:rPr>
            </w:pPr>
            <w:r w:rsidRPr="00737A7B">
              <w:rPr>
                <w:sz w:val="20"/>
                <w:szCs w:val="20"/>
              </w:rPr>
              <w:t>Iskolai padok és iskolai asztalok</w:t>
            </w:r>
          </w:p>
        </w:tc>
      </w:tr>
      <w:tr w:rsidR="005F69BB" w:rsidRPr="00737A7B" w14:paraId="1AFACD2D" w14:textId="77777777" w:rsidTr="009B17D6">
        <w:trPr>
          <w:trHeight w:val="600"/>
          <w:jc w:val="center"/>
        </w:trPr>
        <w:tc>
          <w:tcPr>
            <w:tcW w:w="2882" w:type="dxa"/>
            <w:noWrap/>
            <w:hideMark/>
          </w:tcPr>
          <w:p w14:paraId="569873A1" w14:textId="1507DEED" w:rsidR="005F69BB" w:rsidRPr="00737A7B" w:rsidRDefault="00737A7B" w:rsidP="009B17D6">
            <w:pPr>
              <w:rPr>
                <w:sz w:val="20"/>
                <w:szCs w:val="20"/>
              </w:rPr>
            </w:pPr>
            <w:r w:rsidRPr="00737A7B">
              <w:rPr>
                <w:sz w:val="20"/>
                <w:szCs w:val="20"/>
              </w:rPr>
              <w:t>MILAN PETROVIĆ ÁLTALÁNOS ÉS KÖZÉPISKOLA DIÁKOTTHONNAL</w:t>
            </w:r>
          </w:p>
        </w:tc>
        <w:tc>
          <w:tcPr>
            <w:tcW w:w="2214" w:type="dxa"/>
            <w:noWrap/>
            <w:hideMark/>
          </w:tcPr>
          <w:p w14:paraId="3198BF75" w14:textId="77777777" w:rsidR="005F69BB" w:rsidRPr="00737A7B" w:rsidRDefault="005F69BB" w:rsidP="009B17D6">
            <w:pPr>
              <w:jc w:val="center"/>
              <w:rPr>
                <w:sz w:val="20"/>
                <w:szCs w:val="20"/>
              </w:rPr>
            </w:pPr>
            <w:r w:rsidRPr="00737A7B">
              <w:rPr>
                <w:sz w:val="20"/>
                <w:szCs w:val="20"/>
              </w:rPr>
              <w:t>Újvidék</w:t>
            </w:r>
          </w:p>
        </w:tc>
        <w:tc>
          <w:tcPr>
            <w:tcW w:w="1662" w:type="dxa"/>
            <w:noWrap/>
            <w:hideMark/>
          </w:tcPr>
          <w:p w14:paraId="4BF5A86C" w14:textId="77777777" w:rsidR="005F69BB" w:rsidRPr="00737A7B" w:rsidRDefault="005F69BB" w:rsidP="009B17D6">
            <w:pPr>
              <w:jc w:val="right"/>
              <w:rPr>
                <w:sz w:val="20"/>
                <w:szCs w:val="20"/>
              </w:rPr>
            </w:pPr>
            <w:r w:rsidRPr="00737A7B">
              <w:rPr>
                <w:sz w:val="20"/>
                <w:szCs w:val="20"/>
              </w:rPr>
              <w:t>80 000,00</w:t>
            </w:r>
          </w:p>
        </w:tc>
        <w:tc>
          <w:tcPr>
            <w:tcW w:w="2458" w:type="dxa"/>
          </w:tcPr>
          <w:p w14:paraId="2A4B0490" w14:textId="77777777" w:rsidR="005F69BB" w:rsidRPr="00737A7B" w:rsidRDefault="005F69BB" w:rsidP="009B17D6">
            <w:pPr>
              <w:jc w:val="both"/>
              <w:rPr>
                <w:sz w:val="20"/>
                <w:szCs w:val="20"/>
              </w:rPr>
            </w:pPr>
            <w:r w:rsidRPr="00737A7B">
              <w:rPr>
                <w:sz w:val="20"/>
                <w:szCs w:val="20"/>
              </w:rPr>
              <w:t xml:space="preserve">Bambu Lab P1P PF001-S-EU1 3D nyomtató, Azurefilm PLA BLACK filament, 1000 g, 1,75 mm </w:t>
            </w:r>
          </w:p>
        </w:tc>
      </w:tr>
      <w:tr w:rsidR="005F69BB" w:rsidRPr="00737A7B" w14:paraId="19A682AE" w14:textId="77777777" w:rsidTr="009B17D6">
        <w:trPr>
          <w:trHeight w:val="600"/>
          <w:jc w:val="center"/>
        </w:trPr>
        <w:tc>
          <w:tcPr>
            <w:tcW w:w="2882" w:type="dxa"/>
            <w:hideMark/>
          </w:tcPr>
          <w:p w14:paraId="229DE80E" w14:textId="1A2E87B2" w:rsidR="005F69BB" w:rsidRPr="00737A7B" w:rsidRDefault="00737A7B" w:rsidP="009B17D6">
            <w:pPr>
              <w:rPr>
                <w:sz w:val="20"/>
                <w:szCs w:val="20"/>
              </w:rPr>
            </w:pPr>
            <w:r w:rsidRPr="00737A7B">
              <w:rPr>
                <w:sz w:val="20"/>
                <w:szCs w:val="20"/>
              </w:rPr>
              <w:t>OKTÓBER 20. ÁTLALÁNOS ISKOLA</w:t>
            </w:r>
          </w:p>
        </w:tc>
        <w:tc>
          <w:tcPr>
            <w:tcW w:w="2214" w:type="dxa"/>
            <w:noWrap/>
            <w:hideMark/>
          </w:tcPr>
          <w:p w14:paraId="1EDC171D" w14:textId="77777777" w:rsidR="005F69BB" w:rsidRPr="00737A7B" w:rsidRDefault="005F69BB" w:rsidP="009B17D6">
            <w:pPr>
              <w:jc w:val="center"/>
              <w:rPr>
                <w:sz w:val="20"/>
                <w:szCs w:val="20"/>
              </w:rPr>
            </w:pPr>
            <w:r w:rsidRPr="00737A7B">
              <w:rPr>
                <w:sz w:val="20"/>
                <w:szCs w:val="20"/>
              </w:rPr>
              <w:t>Verbász</w:t>
            </w:r>
          </w:p>
        </w:tc>
        <w:tc>
          <w:tcPr>
            <w:tcW w:w="1662" w:type="dxa"/>
            <w:noWrap/>
            <w:hideMark/>
          </w:tcPr>
          <w:p w14:paraId="7C6F6595" w14:textId="77777777" w:rsidR="005F69BB" w:rsidRPr="00737A7B" w:rsidRDefault="005F69BB" w:rsidP="009B17D6">
            <w:pPr>
              <w:jc w:val="right"/>
              <w:rPr>
                <w:sz w:val="20"/>
                <w:szCs w:val="20"/>
              </w:rPr>
            </w:pPr>
            <w:r w:rsidRPr="00737A7B">
              <w:rPr>
                <w:sz w:val="20"/>
                <w:szCs w:val="20"/>
              </w:rPr>
              <w:t>95 000,00</w:t>
            </w:r>
          </w:p>
        </w:tc>
        <w:tc>
          <w:tcPr>
            <w:tcW w:w="2458" w:type="dxa"/>
          </w:tcPr>
          <w:p w14:paraId="035CC963" w14:textId="134E3E6A" w:rsidR="005F69BB" w:rsidRPr="00737A7B" w:rsidRDefault="005F69BB" w:rsidP="000E6951">
            <w:pPr>
              <w:jc w:val="both"/>
              <w:rPr>
                <w:sz w:val="20"/>
                <w:szCs w:val="20"/>
              </w:rPr>
            </w:pPr>
            <w:r w:rsidRPr="00737A7B">
              <w:rPr>
                <w:color w:val="000000"/>
                <w:sz w:val="20"/>
                <w:szCs w:val="20"/>
              </w:rPr>
              <w:t>ViewSonic PQA5035 projektor</w:t>
            </w:r>
          </w:p>
        </w:tc>
      </w:tr>
      <w:tr w:rsidR="005F69BB" w:rsidRPr="00737A7B" w14:paraId="11CDE909" w14:textId="77777777" w:rsidTr="009B17D6">
        <w:trPr>
          <w:trHeight w:val="900"/>
          <w:jc w:val="center"/>
        </w:trPr>
        <w:tc>
          <w:tcPr>
            <w:tcW w:w="2882" w:type="dxa"/>
          </w:tcPr>
          <w:p w14:paraId="23F00B07" w14:textId="724050D5" w:rsidR="005F69BB" w:rsidRPr="00737A7B" w:rsidRDefault="00737A7B" w:rsidP="009B17D6">
            <w:pPr>
              <w:rPr>
                <w:sz w:val="20"/>
                <w:szCs w:val="20"/>
              </w:rPr>
            </w:pPr>
            <w:r w:rsidRPr="00737A7B">
              <w:rPr>
                <w:sz w:val="20"/>
                <w:szCs w:val="20"/>
              </w:rPr>
              <w:t xml:space="preserve">JOVAN JOVANOVIĆ ZMAJ </w:t>
            </w:r>
            <w:r w:rsidR="005F69BB" w:rsidRPr="00737A7B">
              <w:rPr>
                <w:sz w:val="20"/>
                <w:szCs w:val="20"/>
              </w:rPr>
              <w:t>ÁI</w:t>
            </w:r>
          </w:p>
        </w:tc>
        <w:tc>
          <w:tcPr>
            <w:tcW w:w="2214" w:type="dxa"/>
            <w:noWrap/>
          </w:tcPr>
          <w:p w14:paraId="4AE3DFC3" w14:textId="77777777" w:rsidR="005F69BB" w:rsidRPr="00737A7B" w:rsidRDefault="005F69BB" w:rsidP="009B17D6">
            <w:pPr>
              <w:jc w:val="center"/>
              <w:rPr>
                <w:color w:val="000000"/>
                <w:sz w:val="20"/>
                <w:szCs w:val="20"/>
              </w:rPr>
            </w:pPr>
            <w:r w:rsidRPr="00737A7B">
              <w:rPr>
                <w:color w:val="000000"/>
                <w:sz w:val="20"/>
                <w:szCs w:val="20"/>
              </w:rPr>
              <w:t>Szabadka</w:t>
            </w:r>
          </w:p>
        </w:tc>
        <w:tc>
          <w:tcPr>
            <w:tcW w:w="1662" w:type="dxa"/>
            <w:noWrap/>
          </w:tcPr>
          <w:p w14:paraId="230C1BFA" w14:textId="77777777" w:rsidR="005F69BB" w:rsidRPr="00737A7B" w:rsidRDefault="005F69BB" w:rsidP="009B17D6">
            <w:pPr>
              <w:jc w:val="right"/>
              <w:rPr>
                <w:sz w:val="20"/>
                <w:szCs w:val="20"/>
              </w:rPr>
            </w:pPr>
            <w:r w:rsidRPr="00737A7B">
              <w:rPr>
                <w:sz w:val="20"/>
                <w:szCs w:val="20"/>
              </w:rPr>
              <w:t>140 000,00</w:t>
            </w:r>
          </w:p>
        </w:tc>
        <w:tc>
          <w:tcPr>
            <w:tcW w:w="2458" w:type="dxa"/>
          </w:tcPr>
          <w:p w14:paraId="083FC74F" w14:textId="06700A77" w:rsidR="005F69BB" w:rsidRPr="00737A7B" w:rsidRDefault="005F69BB" w:rsidP="000E6951">
            <w:pPr>
              <w:rPr>
                <w:sz w:val="20"/>
                <w:szCs w:val="20"/>
              </w:rPr>
            </w:pPr>
            <w:r w:rsidRPr="00737A7B">
              <w:rPr>
                <w:color w:val="000000"/>
                <w:sz w:val="20"/>
                <w:szCs w:val="20"/>
              </w:rPr>
              <w:t>Számítógépes rendszer, monitor, billentyűzet és egér</w:t>
            </w:r>
          </w:p>
        </w:tc>
      </w:tr>
      <w:tr w:rsidR="005F69BB" w:rsidRPr="00737A7B" w14:paraId="2AFD5293" w14:textId="77777777" w:rsidTr="009B17D6">
        <w:trPr>
          <w:trHeight w:val="485"/>
          <w:jc w:val="center"/>
        </w:trPr>
        <w:tc>
          <w:tcPr>
            <w:tcW w:w="2882" w:type="dxa"/>
            <w:noWrap/>
            <w:hideMark/>
          </w:tcPr>
          <w:p w14:paraId="2371AEC0" w14:textId="045B5B16" w:rsidR="005F69BB" w:rsidRPr="00737A7B" w:rsidRDefault="00737A7B" w:rsidP="009B17D6">
            <w:pPr>
              <w:rPr>
                <w:sz w:val="20"/>
                <w:szCs w:val="20"/>
              </w:rPr>
            </w:pPr>
            <w:r w:rsidRPr="00737A7B">
              <w:rPr>
                <w:sz w:val="20"/>
                <w:szCs w:val="20"/>
              </w:rPr>
              <w:t>ĐURA JAKŠIĆ</w:t>
            </w:r>
            <w:r w:rsidR="005F69BB" w:rsidRPr="00737A7B">
              <w:rPr>
                <w:sz w:val="20"/>
                <w:szCs w:val="20"/>
              </w:rPr>
              <w:t xml:space="preserve"> ÁI</w:t>
            </w:r>
          </w:p>
        </w:tc>
        <w:tc>
          <w:tcPr>
            <w:tcW w:w="2214" w:type="dxa"/>
            <w:noWrap/>
            <w:hideMark/>
          </w:tcPr>
          <w:p w14:paraId="5B49C33B" w14:textId="77777777" w:rsidR="005F69BB" w:rsidRPr="00737A7B" w:rsidRDefault="005F69BB" w:rsidP="009B17D6">
            <w:pPr>
              <w:jc w:val="center"/>
              <w:rPr>
                <w:sz w:val="20"/>
                <w:szCs w:val="20"/>
              </w:rPr>
            </w:pPr>
            <w:r w:rsidRPr="00737A7B">
              <w:rPr>
                <w:sz w:val="20"/>
                <w:szCs w:val="20"/>
              </w:rPr>
              <w:t>Pancsova</w:t>
            </w:r>
          </w:p>
        </w:tc>
        <w:tc>
          <w:tcPr>
            <w:tcW w:w="1662" w:type="dxa"/>
            <w:noWrap/>
            <w:hideMark/>
          </w:tcPr>
          <w:p w14:paraId="37D39337" w14:textId="77777777" w:rsidR="005F69BB" w:rsidRPr="00737A7B" w:rsidRDefault="005F69BB" w:rsidP="009B17D6">
            <w:pPr>
              <w:jc w:val="right"/>
              <w:rPr>
                <w:sz w:val="20"/>
                <w:szCs w:val="20"/>
              </w:rPr>
            </w:pPr>
            <w:r w:rsidRPr="00737A7B">
              <w:rPr>
                <w:sz w:val="20"/>
                <w:szCs w:val="20"/>
              </w:rPr>
              <w:t>100 000,00</w:t>
            </w:r>
          </w:p>
        </w:tc>
        <w:tc>
          <w:tcPr>
            <w:tcW w:w="2458" w:type="dxa"/>
          </w:tcPr>
          <w:p w14:paraId="4AC36438" w14:textId="77777777" w:rsidR="005F69BB" w:rsidRPr="00737A7B" w:rsidRDefault="005F69BB" w:rsidP="009B17D6">
            <w:pPr>
              <w:rPr>
                <w:sz w:val="20"/>
                <w:szCs w:val="20"/>
              </w:rPr>
            </w:pPr>
            <w:r w:rsidRPr="00737A7B">
              <w:rPr>
                <w:sz w:val="20"/>
                <w:szCs w:val="20"/>
              </w:rPr>
              <w:t xml:space="preserve">HD 1080p projektor, projektortartó, 15 m-es HDMI kábel, 15 m-es tápkábel, munkák </w:t>
            </w:r>
          </w:p>
          <w:p w14:paraId="44E89DDF" w14:textId="77777777" w:rsidR="005F69BB" w:rsidRPr="00737A7B" w:rsidRDefault="005F69BB" w:rsidP="009B17D6">
            <w:pPr>
              <w:rPr>
                <w:sz w:val="20"/>
                <w:szCs w:val="20"/>
              </w:rPr>
            </w:pPr>
            <w:r w:rsidRPr="00737A7B">
              <w:rPr>
                <w:sz w:val="20"/>
                <w:szCs w:val="20"/>
              </w:rPr>
              <w:t>Hosszabbítókábel, tananyagtartozékok (filctollak, toner papír, mappák...), 120x240 cm-es fehér tábla</w:t>
            </w:r>
          </w:p>
        </w:tc>
      </w:tr>
      <w:tr w:rsidR="005F69BB" w:rsidRPr="00737A7B" w14:paraId="5B996471" w14:textId="77777777" w:rsidTr="009B17D6">
        <w:trPr>
          <w:trHeight w:val="600"/>
          <w:jc w:val="center"/>
        </w:trPr>
        <w:tc>
          <w:tcPr>
            <w:tcW w:w="2882" w:type="dxa"/>
            <w:noWrap/>
          </w:tcPr>
          <w:p w14:paraId="53558DB8" w14:textId="1491EDAC" w:rsidR="005F69BB" w:rsidRPr="00737A7B" w:rsidRDefault="00737A7B" w:rsidP="009B17D6">
            <w:pPr>
              <w:rPr>
                <w:color w:val="000000"/>
                <w:sz w:val="20"/>
                <w:szCs w:val="20"/>
              </w:rPr>
            </w:pPr>
            <w:r w:rsidRPr="00737A7B">
              <w:rPr>
                <w:color w:val="000000"/>
                <w:sz w:val="20"/>
                <w:szCs w:val="20"/>
              </w:rPr>
              <w:t>SVETI SAVA ALAPFOKÚ FELNŐTTOKTATÁSI ISKOLA</w:t>
            </w:r>
          </w:p>
          <w:p w14:paraId="142AAE27" w14:textId="77777777" w:rsidR="005F69BB" w:rsidRPr="00737A7B" w:rsidRDefault="005F69BB" w:rsidP="009B17D6">
            <w:pPr>
              <w:rPr>
                <w:sz w:val="20"/>
                <w:szCs w:val="20"/>
              </w:rPr>
            </w:pPr>
          </w:p>
        </w:tc>
        <w:tc>
          <w:tcPr>
            <w:tcW w:w="2214" w:type="dxa"/>
            <w:noWrap/>
          </w:tcPr>
          <w:p w14:paraId="4467CDA2" w14:textId="77777777" w:rsidR="005F69BB" w:rsidRPr="00737A7B" w:rsidRDefault="005F69BB" w:rsidP="009B17D6">
            <w:pPr>
              <w:jc w:val="center"/>
              <w:rPr>
                <w:sz w:val="20"/>
                <w:szCs w:val="20"/>
              </w:rPr>
            </w:pPr>
            <w:r w:rsidRPr="00737A7B">
              <w:rPr>
                <w:sz w:val="20"/>
                <w:szCs w:val="20"/>
              </w:rPr>
              <w:t>Újvidék</w:t>
            </w:r>
          </w:p>
        </w:tc>
        <w:tc>
          <w:tcPr>
            <w:tcW w:w="1662" w:type="dxa"/>
            <w:noWrap/>
          </w:tcPr>
          <w:p w14:paraId="5D4893EB" w14:textId="77777777" w:rsidR="005F69BB" w:rsidRPr="00737A7B" w:rsidRDefault="005F69BB" w:rsidP="009B17D6">
            <w:pPr>
              <w:jc w:val="right"/>
              <w:rPr>
                <w:sz w:val="20"/>
                <w:szCs w:val="20"/>
              </w:rPr>
            </w:pPr>
            <w:r w:rsidRPr="00737A7B">
              <w:rPr>
                <w:sz w:val="20"/>
                <w:szCs w:val="20"/>
              </w:rPr>
              <w:t>100 000,00</w:t>
            </w:r>
          </w:p>
        </w:tc>
        <w:tc>
          <w:tcPr>
            <w:tcW w:w="2458" w:type="dxa"/>
          </w:tcPr>
          <w:p w14:paraId="445F96EE" w14:textId="77777777" w:rsidR="005F69BB" w:rsidRPr="00737A7B" w:rsidRDefault="005F69BB" w:rsidP="009B17D6">
            <w:pPr>
              <w:rPr>
                <w:color w:val="000000"/>
                <w:sz w:val="20"/>
                <w:szCs w:val="20"/>
              </w:rPr>
            </w:pPr>
            <w:r w:rsidRPr="00737A7B">
              <w:rPr>
                <w:color w:val="000000"/>
                <w:sz w:val="20"/>
                <w:szCs w:val="20"/>
              </w:rPr>
              <w:t>VIVAX ACP - 12CH35AEQI INVERTER,</w:t>
            </w:r>
          </w:p>
          <w:p w14:paraId="222E0C44" w14:textId="77777777" w:rsidR="005F69BB" w:rsidRPr="00737A7B" w:rsidRDefault="005F69BB" w:rsidP="009B17D6">
            <w:pPr>
              <w:rPr>
                <w:sz w:val="20"/>
                <w:szCs w:val="20"/>
              </w:rPr>
            </w:pPr>
            <w:r w:rsidRPr="00737A7B">
              <w:rPr>
                <w:color w:val="000000"/>
                <w:sz w:val="20"/>
                <w:szCs w:val="20"/>
              </w:rPr>
              <w:t>szállítási szolgáltatások</w:t>
            </w:r>
          </w:p>
        </w:tc>
      </w:tr>
      <w:tr w:rsidR="005F69BB" w:rsidRPr="00737A7B" w14:paraId="49336781" w14:textId="77777777" w:rsidTr="009B17D6">
        <w:trPr>
          <w:trHeight w:val="638"/>
          <w:jc w:val="center"/>
        </w:trPr>
        <w:tc>
          <w:tcPr>
            <w:tcW w:w="2882" w:type="dxa"/>
            <w:noWrap/>
          </w:tcPr>
          <w:p w14:paraId="26AF37CA" w14:textId="00694BC3" w:rsidR="005F69BB" w:rsidRPr="00737A7B" w:rsidRDefault="00737A7B" w:rsidP="009B17D6">
            <w:pPr>
              <w:rPr>
                <w:color w:val="000000"/>
                <w:sz w:val="20"/>
                <w:szCs w:val="20"/>
              </w:rPr>
            </w:pPr>
            <w:r w:rsidRPr="00737A7B">
              <w:rPr>
                <w:color w:val="000000"/>
                <w:sz w:val="20"/>
                <w:szCs w:val="20"/>
              </w:rPr>
              <w:t>NOVAK RADONIĆ</w:t>
            </w:r>
            <w:r w:rsidR="005F69BB" w:rsidRPr="00737A7B">
              <w:rPr>
                <w:color w:val="000000"/>
                <w:sz w:val="20"/>
                <w:szCs w:val="20"/>
              </w:rPr>
              <w:t xml:space="preserve"> ÁI</w:t>
            </w:r>
          </w:p>
          <w:p w14:paraId="2AFC1A13" w14:textId="77777777" w:rsidR="005F69BB" w:rsidRPr="00737A7B" w:rsidRDefault="005F69BB" w:rsidP="009B17D6">
            <w:pPr>
              <w:rPr>
                <w:sz w:val="20"/>
                <w:szCs w:val="20"/>
              </w:rPr>
            </w:pPr>
          </w:p>
        </w:tc>
        <w:tc>
          <w:tcPr>
            <w:tcW w:w="2214" w:type="dxa"/>
            <w:noWrap/>
          </w:tcPr>
          <w:p w14:paraId="24810EA4" w14:textId="77777777" w:rsidR="005F69BB" w:rsidRPr="00737A7B" w:rsidRDefault="005F69BB" w:rsidP="009B17D6">
            <w:pPr>
              <w:jc w:val="center"/>
              <w:rPr>
                <w:color w:val="000000"/>
                <w:sz w:val="20"/>
                <w:szCs w:val="20"/>
              </w:rPr>
            </w:pPr>
            <w:r w:rsidRPr="00737A7B">
              <w:rPr>
                <w:color w:val="000000"/>
                <w:sz w:val="20"/>
                <w:szCs w:val="20"/>
              </w:rPr>
              <w:t>Mohol</w:t>
            </w:r>
          </w:p>
        </w:tc>
        <w:tc>
          <w:tcPr>
            <w:tcW w:w="1662" w:type="dxa"/>
            <w:noWrap/>
          </w:tcPr>
          <w:p w14:paraId="061B64DA" w14:textId="77777777" w:rsidR="005F69BB" w:rsidRPr="00737A7B" w:rsidRDefault="005F69BB" w:rsidP="009B17D6">
            <w:pPr>
              <w:jc w:val="right"/>
              <w:rPr>
                <w:sz w:val="20"/>
                <w:szCs w:val="20"/>
              </w:rPr>
            </w:pPr>
            <w:r w:rsidRPr="00737A7B">
              <w:rPr>
                <w:sz w:val="20"/>
                <w:szCs w:val="20"/>
              </w:rPr>
              <w:t>152 000,00</w:t>
            </w:r>
          </w:p>
        </w:tc>
        <w:tc>
          <w:tcPr>
            <w:tcW w:w="2458" w:type="dxa"/>
          </w:tcPr>
          <w:p w14:paraId="63F8A64E" w14:textId="5F80E54A" w:rsidR="005F69BB" w:rsidRPr="00737A7B" w:rsidRDefault="00737A7B" w:rsidP="009B17D6">
            <w:pPr>
              <w:rPr>
                <w:color w:val="000000"/>
                <w:sz w:val="20"/>
                <w:szCs w:val="20"/>
              </w:rPr>
            </w:pPr>
            <w:r>
              <w:rPr>
                <w:color w:val="000000"/>
                <w:sz w:val="20"/>
                <w:szCs w:val="20"/>
              </w:rPr>
              <w:t>Vision interaktív tábl</w:t>
            </w:r>
            <w:r w:rsidR="005F69BB" w:rsidRPr="00737A7B">
              <w:rPr>
                <w:color w:val="000000"/>
                <w:sz w:val="20"/>
                <w:szCs w:val="20"/>
              </w:rPr>
              <w:t xml:space="preserve">a E 86” </w:t>
            </w:r>
          </w:p>
          <w:p w14:paraId="06F391F7" w14:textId="4897E66F" w:rsidR="005F69BB" w:rsidRPr="00737A7B" w:rsidRDefault="005F69BB" w:rsidP="000E6951">
            <w:pPr>
              <w:rPr>
                <w:sz w:val="20"/>
                <w:szCs w:val="20"/>
              </w:rPr>
            </w:pPr>
            <w:r w:rsidRPr="00737A7B">
              <w:rPr>
                <w:color w:val="000000"/>
                <w:sz w:val="20"/>
                <w:szCs w:val="20"/>
              </w:rPr>
              <w:t>Mobil állvány interaktív táblához, projektortartó, szállítás</w:t>
            </w:r>
          </w:p>
        </w:tc>
      </w:tr>
      <w:tr w:rsidR="005F69BB" w:rsidRPr="00737A7B" w14:paraId="144EDA84" w14:textId="77777777" w:rsidTr="009B17D6">
        <w:trPr>
          <w:trHeight w:val="405"/>
          <w:jc w:val="center"/>
        </w:trPr>
        <w:tc>
          <w:tcPr>
            <w:tcW w:w="2882" w:type="dxa"/>
            <w:noWrap/>
          </w:tcPr>
          <w:p w14:paraId="5416913C" w14:textId="77777777" w:rsidR="005F69BB" w:rsidRPr="00737A7B" w:rsidRDefault="005F69BB" w:rsidP="009B17D6">
            <w:pPr>
              <w:rPr>
                <w:color w:val="000000"/>
                <w:sz w:val="20"/>
                <w:szCs w:val="20"/>
              </w:rPr>
            </w:pPr>
            <w:r w:rsidRPr="00737A7B">
              <w:rPr>
                <w:sz w:val="20"/>
                <w:szCs w:val="20"/>
              </w:rPr>
              <w:t>BRAĆA STEFANOVIĆ ÁI</w:t>
            </w:r>
          </w:p>
          <w:p w14:paraId="00CE8EAE" w14:textId="77777777" w:rsidR="005F69BB" w:rsidRPr="00737A7B" w:rsidRDefault="005F69BB" w:rsidP="009B17D6">
            <w:pPr>
              <w:rPr>
                <w:sz w:val="20"/>
                <w:szCs w:val="20"/>
              </w:rPr>
            </w:pPr>
          </w:p>
        </w:tc>
        <w:tc>
          <w:tcPr>
            <w:tcW w:w="2214" w:type="dxa"/>
            <w:noWrap/>
          </w:tcPr>
          <w:p w14:paraId="0F44618F" w14:textId="77777777" w:rsidR="005F69BB" w:rsidRPr="00737A7B" w:rsidRDefault="005F69BB" w:rsidP="009B17D6">
            <w:pPr>
              <w:jc w:val="center"/>
              <w:rPr>
                <w:sz w:val="20"/>
                <w:szCs w:val="20"/>
              </w:rPr>
            </w:pPr>
            <w:r w:rsidRPr="00737A7B">
              <w:rPr>
                <w:sz w:val="20"/>
                <w:szCs w:val="20"/>
              </w:rPr>
              <w:t>Nezsény</w:t>
            </w:r>
          </w:p>
        </w:tc>
        <w:tc>
          <w:tcPr>
            <w:tcW w:w="1662" w:type="dxa"/>
            <w:noWrap/>
          </w:tcPr>
          <w:p w14:paraId="4D5F7534" w14:textId="77777777" w:rsidR="005F69BB" w:rsidRPr="00737A7B" w:rsidRDefault="005F69BB" w:rsidP="009B17D6">
            <w:pPr>
              <w:jc w:val="right"/>
              <w:rPr>
                <w:sz w:val="20"/>
                <w:szCs w:val="20"/>
              </w:rPr>
            </w:pPr>
            <w:r w:rsidRPr="00737A7B">
              <w:rPr>
                <w:sz w:val="20"/>
                <w:szCs w:val="20"/>
              </w:rPr>
              <w:t>130 000,00</w:t>
            </w:r>
          </w:p>
        </w:tc>
        <w:tc>
          <w:tcPr>
            <w:tcW w:w="2458" w:type="dxa"/>
          </w:tcPr>
          <w:p w14:paraId="62203174" w14:textId="77777777" w:rsidR="005F69BB" w:rsidRPr="00737A7B" w:rsidRDefault="005F69BB" w:rsidP="009B17D6">
            <w:pPr>
              <w:jc w:val="both"/>
              <w:rPr>
                <w:color w:val="000000"/>
                <w:sz w:val="20"/>
                <w:szCs w:val="20"/>
              </w:rPr>
            </w:pPr>
            <w:r w:rsidRPr="00737A7B">
              <w:rPr>
                <w:color w:val="000000"/>
                <w:sz w:val="20"/>
                <w:szCs w:val="20"/>
              </w:rPr>
              <w:t xml:space="preserve">NTB LENOVO V15 G4 IRU 83A 1006XYA, </w:t>
            </w:r>
          </w:p>
          <w:p w14:paraId="08162455" w14:textId="77777777" w:rsidR="005F69BB" w:rsidRPr="00737A7B" w:rsidRDefault="005F69BB" w:rsidP="009B17D6">
            <w:pPr>
              <w:jc w:val="both"/>
              <w:rPr>
                <w:color w:val="000000"/>
                <w:sz w:val="20"/>
                <w:szCs w:val="20"/>
              </w:rPr>
            </w:pPr>
            <w:r w:rsidRPr="00737A7B">
              <w:rPr>
                <w:color w:val="000000"/>
                <w:sz w:val="20"/>
                <w:szCs w:val="20"/>
              </w:rPr>
              <w:lastRenderedPageBreak/>
              <w:t xml:space="preserve">Táska NTB NATEC MUSTELA 15,6, továbbbá </w:t>
            </w:r>
          </w:p>
          <w:p w14:paraId="486CE30A" w14:textId="7F0D9EF4" w:rsidR="005F69BB" w:rsidRPr="00737A7B" w:rsidRDefault="005F69BB" w:rsidP="000E6951">
            <w:pPr>
              <w:jc w:val="both"/>
              <w:rPr>
                <w:sz w:val="20"/>
                <w:szCs w:val="20"/>
              </w:rPr>
            </w:pPr>
            <w:r w:rsidRPr="00737A7B">
              <w:rPr>
                <w:color w:val="000000"/>
                <w:sz w:val="20"/>
                <w:szCs w:val="20"/>
              </w:rPr>
              <w:t>MOUSE GENIUS NX - 7005 WHITE</w:t>
            </w:r>
          </w:p>
        </w:tc>
      </w:tr>
      <w:tr w:rsidR="005F69BB" w:rsidRPr="00737A7B" w14:paraId="3E712207" w14:textId="77777777" w:rsidTr="009B17D6">
        <w:trPr>
          <w:trHeight w:val="405"/>
          <w:jc w:val="center"/>
        </w:trPr>
        <w:tc>
          <w:tcPr>
            <w:tcW w:w="2882" w:type="dxa"/>
            <w:noWrap/>
          </w:tcPr>
          <w:p w14:paraId="3021B24D" w14:textId="77777777" w:rsidR="005F69BB" w:rsidRPr="00737A7B" w:rsidRDefault="005F69BB" w:rsidP="009B17D6">
            <w:pPr>
              <w:rPr>
                <w:color w:val="000000"/>
                <w:sz w:val="20"/>
                <w:szCs w:val="20"/>
              </w:rPr>
            </w:pPr>
            <w:r w:rsidRPr="00737A7B">
              <w:rPr>
                <w:sz w:val="20"/>
                <w:szCs w:val="20"/>
              </w:rPr>
              <w:lastRenderedPageBreak/>
              <w:t>NEBOJŠA JERKOVIĆ ÁI</w:t>
            </w:r>
          </w:p>
        </w:tc>
        <w:tc>
          <w:tcPr>
            <w:tcW w:w="2214" w:type="dxa"/>
            <w:noWrap/>
          </w:tcPr>
          <w:p w14:paraId="17C1FE3B" w14:textId="77777777" w:rsidR="005F69BB" w:rsidRPr="00737A7B" w:rsidRDefault="005F69BB" w:rsidP="009B17D6">
            <w:pPr>
              <w:jc w:val="center"/>
              <w:rPr>
                <w:color w:val="000000"/>
                <w:sz w:val="20"/>
                <w:szCs w:val="20"/>
              </w:rPr>
            </w:pPr>
            <w:r w:rsidRPr="00737A7B">
              <w:rPr>
                <w:color w:val="000000"/>
                <w:sz w:val="20"/>
                <w:szCs w:val="20"/>
              </w:rPr>
              <w:t>Budinovci</w:t>
            </w:r>
          </w:p>
        </w:tc>
        <w:tc>
          <w:tcPr>
            <w:tcW w:w="1662" w:type="dxa"/>
            <w:noWrap/>
          </w:tcPr>
          <w:p w14:paraId="0842D123" w14:textId="77777777" w:rsidR="005F69BB" w:rsidRPr="00737A7B" w:rsidRDefault="005F69BB" w:rsidP="009B17D6">
            <w:pPr>
              <w:jc w:val="right"/>
              <w:rPr>
                <w:sz w:val="20"/>
                <w:szCs w:val="20"/>
              </w:rPr>
            </w:pPr>
            <w:r w:rsidRPr="00737A7B">
              <w:rPr>
                <w:sz w:val="20"/>
                <w:szCs w:val="20"/>
              </w:rPr>
              <w:t>100 000,00</w:t>
            </w:r>
          </w:p>
        </w:tc>
        <w:tc>
          <w:tcPr>
            <w:tcW w:w="2458" w:type="dxa"/>
          </w:tcPr>
          <w:p w14:paraId="065DEBEF" w14:textId="77777777" w:rsidR="005F69BB" w:rsidRPr="00737A7B" w:rsidRDefault="005F69BB" w:rsidP="009B17D6">
            <w:pPr>
              <w:rPr>
                <w:color w:val="000000"/>
                <w:sz w:val="20"/>
                <w:szCs w:val="20"/>
              </w:rPr>
            </w:pPr>
            <w:r w:rsidRPr="00737A7B">
              <w:rPr>
                <w:color w:val="000000"/>
                <w:sz w:val="20"/>
                <w:szCs w:val="20"/>
              </w:rPr>
              <w:t xml:space="preserve">Nyomtató </w:t>
            </w:r>
          </w:p>
          <w:p w14:paraId="58A148C2" w14:textId="3C400507" w:rsidR="005F69BB" w:rsidRPr="00737A7B" w:rsidRDefault="005F69BB" w:rsidP="000E6951">
            <w:pPr>
              <w:rPr>
                <w:sz w:val="20"/>
                <w:szCs w:val="20"/>
              </w:rPr>
            </w:pPr>
            <w:r w:rsidRPr="00737A7B">
              <w:rPr>
                <w:color w:val="000000"/>
                <w:sz w:val="20"/>
                <w:szCs w:val="20"/>
              </w:rPr>
              <w:t>Plastifikáló gép, Európa térkép, Ázsia térkép, indukciós földgömb, politikai földgömb, háromszög, különböző oldalakú háromszög, vonalzó, szögmérő, körző, kémcsövek, pipetta, buretta, tölcsér, Erlenmeyer lombik, üvegpohár, mérőedény, kémcsőtartó polc, kémcsipesz, molekulamodellek, edénytartó, mozsár és mozsártörő, kék lakmusz, pH lakmusz, szűrőpapír, kémcső kefe és hangosítás, két hangszóró, két mikrofon</w:t>
            </w:r>
          </w:p>
        </w:tc>
      </w:tr>
      <w:tr w:rsidR="005F69BB" w:rsidRPr="00737A7B" w14:paraId="581F13DF" w14:textId="77777777" w:rsidTr="009B17D6">
        <w:trPr>
          <w:trHeight w:val="405"/>
          <w:jc w:val="center"/>
        </w:trPr>
        <w:tc>
          <w:tcPr>
            <w:tcW w:w="2882" w:type="dxa"/>
            <w:noWrap/>
          </w:tcPr>
          <w:p w14:paraId="1533416F" w14:textId="379D0622" w:rsidR="005F69BB" w:rsidRPr="00737A7B" w:rsidRDefault="00737A7B" w:rsidP="009B17D6">
            <w:pPr>
              <w:rPr>
                <w:color w:val="000000"/>
                <w:sz w:val="20"/>
                <w:szCs w:val="20"/>
              </w:rPr>
            </w:pPr>
            <w:r w:rsidRPr="00737A7B">
              <w:rPr>
                <w:sz w:val="20"/>
                <w:szCs w:val="20"/>
              </w:rPr>
              <w:t xml:space="preserve">KÁRÁSZ KAROLINA </w:t>
            </w:r>
            <w:r w:rsidR="005F69BB" w:rsidRPr="00737A7B">
              <w:rPr>
                <w:sz w:val="20"/>
                <w:szCs w:val="20"/>
              </w:rPr>
              <w:t>ÁI</w:t>
            </w:r>
          </w:p>
        </w:tc>
        <w:tc>
          <w:tcPr>
            <w:tcW w:w="2214" w:type="dxa"/>
            <w:noWrap/>
          </w:tcPr>
          <w:p w14:paraId="6A61FF76" w14:textId="77777777" w:rsidR="005F69BB" w:rsidRPr="00737A7B" w:rsidRDefault="005F69BB" w:rsidP="009B17D6">
            <w:pPr>
              <w:jc w:val="center"/>
              <w:rPr>
                <w:color w:val="000000"/>
                <w:sz w:val="20"/>
                <w:szCs w:val="20"/>
              </w:rPr>
            </w:pPr>
            <w:r w:rsidRPr="00737A7B">
              <w:rPr>
                <w:color w:val="000000"/>
                <w:sz w:val="20"/>
                <w:szCs w:val="20"/>
              </w:rPr>
              <w:t>Horgos</w:t>
            </w:r>
          </w:p>
        </w:tc>
        <w:tc>
          <w:tcPr>
            <w:tcW w:w="1662" w:type="dxa"/>
            <w:noWrap/>
          </w:tcPr>
          <w:p w14:paraId="4C923E4A" w14:textId="77777777" w:rsidR="005F69BB" w:rsidRPr="00737A7B" w:rsidRDefault="005F69BB" w:rsidP="009B17D6">
            <w:pPr>
              <w:jc w:val="right"/>
              <w:rPr>
                <w:sz w:val="20"/>
                <w:szCs w:val="20"/>
              </w:rPr>
            </w:pPr>
            <w:r w:rsidRPr="00737A7B">
              <w:rPr>
                <w:sz w:val="20"/>
                <w:szCs w:val="20"/>
              </w:rPr>
              <w:t>350 000,00</w:t>
            </w:r>
          </w:p>
        </w:tc>
        <w:tc>
          <w:tcPr>
            <w:tcW w:w="2458" w:type="dxa"/>
          </w:tcPr>
          <w:p w14:paraId="216C705B" w14:textId="77777777" w:rsidR="005F69BB" w:rsidRPr="00737A7B" w:rsidRDefault="005F69BB" w:rsidP="009B17D6">
            <w:pPr>
              <w:jc w:val="both"/>
              <w:rPr>
                <w:sz w:val="20"/>
                <w:szCs w:val="20"/>
              </w:rPr>
            </w:pPr>
            <w:r w:rsidRPr="00737A7B">
              <w:rPr>
                <w:color w:val="000000"/>
                <w:sz w:val="20"/>
                <w:szCs w:val="20"/>
              </w:rPr>
              <w:t>Világ térkép fali változata, Szerbia térkép fali változata, Plakát – az emberi test (Emberi teszt), ABC plakát 2, Ábécé plakát, Angol nyelvű ábécé plakát, Szorzótábla B2, Fa számológép, Multifunkciós készülék XEROX 3025 NI, XEROX 3025 toner kazetták, LENOVO IdeaPad 15,6"/ Ryzen 3-7320U/8GB/256GB laptop és EPSON CO-WO1 projektor</w:t>
            </w:r>
          </w:p>
        </w:tc>
      </w:tr>
      <w:tr w:rsidR="005F69BB" w:rsidRPr="00737A7B" w14:paraId="16BF833B" w14:textId="77777777" w:rsidTr="009B17D6">
        <w:trPr>
          <w:trHeight w:val="300"/>
          <w:jc w:val="center"/>
        </w:trPr>
        <w:tc>
          <w:tcPr>
            <w:tcW w:w="5096" w:type="dxa"/>
            <w:gridSpan w:val="2"/>
            <w:noWrap/>
            <w:hideMark/>
          </w:tcPr>
          <w:p w14:paraId="3B4A306C" w14:textId="77777777" w:rsidR="005F69BB" w:rsidRPr="00737A7B" w:rsidRDefault="005F69BB" w:rsidP="009B17D6">
            <w:pPr>
              <w:rPr>
                <w:b/>
                <w:sz w:val="20"/>
                <w:szCs w:val="20"/>
              </w:rPr>
            </w:pPr>
            <w:r w:rsidRPr="00737A7B">
              <w:rPr>
                <w:b/>
                <w:sz w:val="20"/>
                <w:szCs w:val="20"/>
              </w:rPr>
              <w:t>ÖSSZESEN</w:t>
            </w:r>
          </w:p>
        </w:tc>
        <w:tc>
          <w:tcPr>
            <w:tcW w:w="1662" w:type="dxa"/>
            <w:noWrap/>
            <w:hideMark/>
          </w:tcPr>
          <w:p w14:paraId="283073FB" w14:textId="77777777" w:rsidR="005F69BB" w:rsidRPr="00737A7B" w:rsidRDefault="005F69BB" w:rsidP="009B17D6">
            <w:pPr>
              <w:jc w:val="right"/>
              <w:rPr>
                <w:b/>
                <w:color w:val="000000"/>
                <w:sz w:val="20"/>
                <w:szCs w:val="20"/>
              </w:rPr>
            </w:pPr>
            <w:r w:rsidRPr="00737A7B">
              <w:rPr>
                <w:b/>
                <w:color w:val="000000"/>
                <w:sz w:val="20"/>
                <w:szCs w:val="20"/>
              </w:rPr>
              <w:t>2 000 000,00</w:t>
            </w:r>
          </w:p>
        </w:tc>
        <w:tc>
          <w:tcPr>
            <w:tcW w:w="2458" w:type="dxa"/>
          </w:tcPr>
          <w:p w14:paraId="65DE285E" w14:textId="77777777" w:rsidR="005F69BB" w:rsidRPr="00737A7B" w:rsidRDefault="005F69BB" w:rsidP="009B17D6">
            <w:pPr>
              <w:jc w:val="right"/>
              <w:rPr>
                <w:b/>
                <w:color w:val="000000"/>
                <w:sz w:val="20"/>
                <w:szCs w:val="20"/>
              </w:rPr>
            </w:pPr>
          </w:p>
        </w:tc>
      </w:tr>
    </w:tbl>
    <w:p w14:paraId="7166AF79" w14:textId="0B66AF9E" w:rsidR="005F69BB" w:rsidRPr="00737A7B" w:rsidRDefault="005F69BB" w:rsidP="00DD318F">
      <w:pPr>
        <w:spacing w:after="200" w:line="276" w:lineRule="auto"/>
        <w:rPr>
          <w:rFonts w:asciiTheme="minorHAnsi" w:hAnsiTheme="minorHAnsi"/>
          <w:sz w:val="20"/>
          <w:szCs w:val="20"/>
        </w:rPr>
      </w:pPr>
    </w:p>
    <w:p w14:paraId="03B9084A" w14:textId="7C6B4840" w:rsidR="005F69BB" w:rsidRPr="00737A7B" w:rsidRDefault="005F69BB" w:rsidP="00DD318F">
      <w:pPr>
        <w:spacing w:after="200" w:line="276" w:lineRule="auto"/>
        <w:rPr>
          <w:rFonts w:asciiTheme="minorHAnsi" w:hAnsiTheme="minorHAnsi"/>
          <w:sz w:val="20"/>
          <w:szCs w:val="20"/>
        </w:rPr>
      </w:pPr>
    </w:p>
    <w:p w14:paraId="3ABFC0CD" w14:textId="6954548F" w:rsidR="005F69BB" w:rsidRPr="00737A7B" w:rsidRDefault="005F69BB" w:rsidP="00DD318F">
      <w:pPr>
        <w:spacing w:after="200" w:line="276" w:lineRule="auto"/>
        <w:rPr>
          <w:rFonts w:asciiTheme="minorHAnsi" w:hAnsiTheme="minorHAnsi"/>
          <w:sz w:val="20"/>
          <w:szCs w:val="20"/>
        </w:rPr>
      </w:pPr>
    </w:p>
    <w:p w14:paraId="633CD4DA" w14:textId="2FBEA668" w:rsidR="005F69BB" w:rsidRPr="00737A7B" w:rsidRDefault="005F69BB" w:rsidP="00DD318F">
      <w:pPr>
        <w:spacing w:after="200" w:line="276" w:lineRule="auto"/>
        <w:rPr>
          <w:rFonts w:asciiTheme="minorHAnsi" w:hAnsiTheme="minorHAnsi"/>
          <w:sz w:val="20"/>
          <w:szCs w:val="20"/>
        </w:rPr>
      </w:pPr>
    </w:p>
    <w:p w14:paraId="4002BD3F" w14:textId="4422EF15" w:rsidR="005F69BB" w:rsidRPr="00737A7B" w:rsidRDefault="005F69BB" w:rsidP="00DD318F">
      <w:pPr>
        <w:spacing w:after="200" w:line="276" w:lineRule="auto"/>
        <w:rPr>
          <w:rFonts w:asciiTheme="minorHAnsi" w:hAnsiTheme="minorHAnsi"/>
          <w:sz w:val="20"/>
          <w:szCs w:val="20"/>
        </w:rPr>
      </w:pPr>
    </w:p>
    <w:p w14:paraId="0B3AC044" w14:textId="67EE96B1" w:rsidR="005F69BB" w:rsidRPr="00737A7B" w:rsidRDefault="005F69BB" w:rsidP="00DD318F">
      <w:pPr>
        <w:spacing w:after="200" w:line="276" w:lineRule="auto"/>
        <w:rPr>
          <w:rFonts w:asciiTheme="minorHAnsi" w:hAnsiTheme="minorHAnsi"/>
          <w:sz w:val="20"/>
          <w:szCs w:val="20"/>
        </w:rPr>
      </w:pPr>
    </w:p>
    <w:p w14:paraId="299557C5" w14:textId="6154FB87" w:rsidR="00F63227" w:rsidRPr="00737A7B" w:rsidRDefault="00F63227" w:rsidP="00F63227">
      <w:pPr>
        <w:ind w:right="15"/>
        <w:jc w:val="center"/>
        <w:rPr>
          <w:rFonts w:asciiTheme="minorHAnsi" w:hAnsiTheme="minorHAnsi"/>
          <w:b/>
          <w:color w:val="000000"/>
          <w:sz w:val="20"/>
          <w:szCs w:val="20"/>
        </w:rPr>
      </w:pPr>
      <w:r w:rsidRPr="00737A7B">
        <w:rPr>
          <w:rFonts w:asciiTheme="minorHAnsi" w:hAnsiTheme="minorHAnsi"/>
          <w:b/>
          <w:color w:val="000000"/>
          <w:sz w:val="20"/>
          <w:szCs w:val="20"/>
        </w:rPr>
        <w:t>III.</w:t>
      </w:r>
    </w:p>
    <w:p w14:paraId="5E4B007F" w14:textId="77777777" w:rsidR="00F63227" w:rsidRPr="00737A7B" w:rsidRDefault="00F63227" w:rsidP="00F63227">
      <w:pPr>
        <w:tabs>
          <w:tab w:val="left" w:pos="0"/>
          <w:tab w:val="left" w:pos="720"/>
        </w:tabs>
        <w:ind w:right="102"/>
        <w:jc w:val="both"/>
        <w:rPr>
          <w:rFonts w:asciiTheme="minorHAnsi" w:hAnsiTheme="minorHAnsi"/>
          <w:sz w:val="20"/>
          <w:szCs w:val="20"/>
        </w:rPr>
      </w:pPr>
    </w:p>
    <w:p w14:paraId="2A632A08" w14:textId="7E5F01D1" w:rsidR="00F63227" w:rsidRPr="00737A7B" w:rsidRDefault="00F63227" w:rsidP="00F63227">
      <w:pPr>
        <w:tabs>
          <w:tab w:val="left" w:pos="0"/>
          <w:tab w:val="left" w:pos="720"/>
        </w:tabs>
        <w:ind w:right="102"/>
        <w:jc w:val="both"/>
        <w:rPr>
          <w:rFonts w:asciiTheme="minorHAnsi" w:hAnsiTheme="minorHAnsi"/>
          <w:sz w:val="20"/>
          <w:szCs w:val="20"/>
        </w:rPr>
      </w:pPr>
      <w:r w:rsidRPr="00737A7B">
        <w:rPr>
          <w:rFonts w:asciiTheme="minorHAnsi" w:hAnsiTheme="minorHAnsi"/>
          <w:sz w:val="20"/>
          <w:szCs w:val="20"/>
        </w:rPr>
        <w:lastRenderedPageBreak/>
        <w:tab/>
        <w:t>A jelen határozat II. pontjában foglalt eszközök a Vajdaság Autonóm Tartomány 2025. évi költségvetéséről szóló tartományi képviselőházi rendeletben (VAT Hivatalos Lapja, 57/2024. szám) a Tartományi Oktatási, Jogalkotási, Közigazgatási és Nemzeti Kisebbségi – Nemzeti Közösségi Titkárság (a továbbiakban: Titkárság) külön rovatrendjén a 2003 Program – Alapfokú oktatás, 1005 Programtevékenység – Felnőttoktatás, 910 Funkcionális felosztás, 4632 Közgazdasági besorolás – Nagyösszegű átutalások a hatalom egyéb szintjeinek, 01 00 Finanszírozási forrás – Általános költségvetési bevételek és jövedelmek keretében kerültek megállapításra és a felhasználók részére a Vajdaság AT költségvetésébe beáramló eszközökkel, illetve a költségvetés fizetőképességével összhangban kerülnek átutalásra.</w:t>
      </w:r>
    </w:p>
    <w:p w14:paraId="39503BCA" w14:textId="77777777" w:rsidR="00F63227" w:rsidRPr="00737A7B" w:rsidRDefault="00F63227" w:rsidP="00F63227">
      <w:pPr>
        <w:pStyle w:val="BlockText"/>
        <w:tabs>
          <w:tab w:val="left" w:pos="0"/>
          <w:tab w:val="left" w:pos="1440"/>
        </w:tabs>
        <w:ind w:left="0" w:right="-11" w:firstLine="0"/>
        <w:jc w:val="center"/>
        <w:rPr>
          <w:rFonts w:asciiTheme="minorHAnsi" w:hAnsiTheme="minorHAnsi"/>
          <w:b/>
          <w:color w:val="000000"/>
          <w:sz w:val="20"/>
          <w:szCs w:val="20"/>
        </w:rPr>
      </w:pPr>
    </w:p>
    <w:p w14:paraId="561287C7" w14:textId="77777777" w:rsidR="00F63227" w:rsidRPr="00737A7B" w:rsidRDefault="00F63227" w:rsidP="00F63227">
      <w:pPr>
        <w:pStyle w:val="BlockText"/>
        <w:tabs>
          <w:tab w:val="left" w:pos="0"/>
          <w:tab w:val="left" w:pos="1440"/>
        </w:tabs>
        <w:ind w:left="0" w:right="-11" w:firstLine="0"/>
        <w:jc w:val="center"/>
        <w:rPr>
          <w:rFonts w:asciiTheme="minorHAnsi" w:hAnsiTheme="minorHAnsi"/>
          <w:sz w:val="20"/>
          <w:szCs w:val="20"/>
        </w:rPr>
      </w:pPr>
      <w:r w:rsidRPr="00737A7B">
        <w:rPr>
          <w:rFonts w:asciiTheme="minorHAnsi" w:hAnsiTheme="minorHAnsi"/>
          <w:b/>
          <w:color w:val="000000"/>
          <w:sz w:val="20"/>
          <w:szCs w:val="20"/>
        </w:rPr>
        <w:t>IV.</w:t>
      </w:r>
    </w:p>
    <w:p w14:paraId="1FEFBD81" w14:textId="77777777" w:rsidR="00F63227" w:rsidRPr="00737A7B" w:rsidRDefault="00F63227" w:rsidP="00F63227">
      <w:pPr>
        <w:pStyle w:val="BlockText"/>
        <w:tabs>
          <w:tab w:val="left" w:pos="0"/>
          <w:tab w:val="left" w:pos="1440"/>
        </w:tabs>
        <w:ind w:left="0" w:right="-11" w:firstLine="0"/>
        <w:jc w:val="center"/>
        <w:rPr>
          <w:rFonts w:asciiTheme="minorHAnsi" w:hAnsiTheme="minorHAnsi"/>
          <w:b/>
          <w:color w:val="000000"/>
          <w:sz w:val="20"/>
          <w:szCs w:val="20"/>
        </w:rPr>
      </w:pPr>
    </w:p>
    <w:p w14:paraId="4B45BA08" w14:textId="77777777" w:rsidR="00F63227" w:rsidRPr="00737A7B" w:rsidRDefault="00F63227" w:rsidP="00F63227">
      <w:pPr>
        <w:tabs>
          <w:tab w:val="left" w:pos="0"/>
          <w:tab w:val="left" w:pos="720"/>
        </w:tabs>
        <w:ind w:right="102"/>
        <w:jc w:val="both"/>
        <w:rPr>
          <w:rFonts w:asciiTheme="minorHAnsi" w:hAnsiTheme="minorHAnsi"/>
          <w:sz w:val="20"/>
          <w:szCs w:val="20"/>
        </w:rPr>
      </w:pPr>
      <w:r w:rsidRPr="00737A7B">
        <w:rPr>
          <w:rFonts w:asciiTheme="minorHAnsi" w:hAnsiTheme="minorHAnsi"/>
          <w:bCs/>
          <w:iCs/>
          <w:sz w:val="20"/>
          <w:szCs w:val="20"/>
        </w:rPr>
        <w:tab/>
      </w:r>
      <w:r w:rsidRPr="00737A7B">
        <w:rPr>
          <w:rFonts w:asciiTheme="minorHAnsi" w:hAnsiTheme="minorHAnsi"/>
          <w:sz w:val="20"/>
          <w:szCs w:val="20"/>
        </w:rPr>
        <w:t>A felhasználók a jelen határozat 1. szakaszában foglalt felszerelés beszerzésekor a közbeszerzésekről szóló törvény (az SZK Hivatalos Közlönye, 91/2019. és 92/2023. szám) rendelkezéseivel, valamint azon közbeszerzésekről és beszerzésekről szóló belső jogi aktusukkal összhangban járnak el, amelyekre a Törvényt nem alkalmazzák. A beszerzési eljárásért és az ajánlattevő kiválasztásáért a megrendelő – a Felhasználó és a felhasználó felelős személye felel.</w:t>
      </w:r>
    </w:p>
    <w:p w14:paraId="44395602" w14:textId="77777777" w:rsidR="00DD318F" w:rsidRPr="00737A7B" w:rsidRDefault="00DD318F" w:rsidP="0008350E">
      <w:pPr>
        <w:tabs>
          <w:tab w:val="left" w:pos="1260"/>
          <w:tab w:val="left" w:pos="3960"/>
        </w:tabs>
        <w:jc w:val="both"/>
        <w:rPr>
          <w:rFonts w:asciiTheme="minorHAnsi" w:hAnsiTheme="minorHAnsi"/>
          <w:bCs/>
          <w:iCs/>
          <w:sz w:val="20"/>
          <w:szCs w:val="20"/>
        </w:rPr>
      </w:pPr>
    </w:p>
    <w:p w14:paraId="66A5622A" w14:textId="77777777" w:rsidR="00DD318F" w:rsidRPr="00737A7B"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rPr>
      </w:pPr>
      <w:r w:rsidRPr="00737A7B">
        <w:rPr>
          <w:rFonts w:asciiTheme="minorHAnsi" w:hAnsiTheme="minorHAnsi"/>
          <w:b/>
          <w:color w:val="000000"/>
          <w:sz w:val="20"/>
          <w:szCs w:val="20"/>
        </w:rPr>
        <w:t>V.</w:t>
      </w:r>
    </w:p>
    <w:p w14:paraId="71B3E47C" w14:textId="77777777" w:rsidR="00DD318F" w:rsidRPr="00737A7B" w:rsidRDefault="00DD318F" w:rsidP="0008350E">
      <w:pPr>
        <w:tabs>
          <w:tab w:val="left" w:pos="0"/>
          <w:tab w:val="left" w:pos="540"/>
          <w:tab w:val="left" w:pos="720"/>
          <w:tab w:val="left" w:pos="1440"/>
          <w:tab w:val="left" w:pos="5040"/>
        </w:tabs>
        <w:jc w:val="center"/>
        <w:rPr>
          <w:rFonts w:asciiTheme="minorHAnsi" w:hAnsiTheme="minorHAnsi"/>
          <w:b/>
          <w:color w:val="000000"/>
          <w:sz w:val="20"/>
          <w:szCs w:val="20"/>
        </w:rPr>
      </w:pPr>
    </w:p>
    <w:p w14:paraId="1D515339" w14:textId="77777777" w:rsidR="00DD318F" w:rsidRPr="00737A7B" w:rsidRDefault="002F1673" w:rsidP="0008350E">
      <w:pPr>
        <w:tabs>
          <w:tab w:val="left" w:pos="0"/>
        </w:tabs>
        <w:jc w:val="both"/>
        <w:rPr>
          <w:rFonts w:asciiTheme="minorHAnsi" w:hAnsiTheme="minorHAnsi"/>
          <w:color w:val="000000"/>
          <w:sz w:val="20"/>
          <w:szCs w:val="20"/>
        </w:rPr>
      </w:pPr>
      <w:r w:rsidRPr="00737A7B">
        <w:rPr>
          <w:rFonts w:asciiTheme="minorHAnsi" w:hAnsiTheme="minorHAnsi"/>
          <w:color w:val="000000"/>
          <w:sz w:val="20"/>
          <w:szCs w:val="20"/>
        </w:rPr>
        <w:tab/>
        <w:t xml:space="preserve">A Titkárság a jelen határozattal megállapított eszközök felosztásáról a Felhasználókat értesíti. </w:t>
      </w:r>
    </w:p>
    <w:p w14:paraId="53F27405" w14:textId="77777777" w:rsidR="002F1673" w:rsidRPr="00737A7B" w:rsidRDefault="002F1673" w:rsidP="0008350E">
      <w:pPr>
        <w:tabs>
          <w:tab w:val="left" w:pos="0"/>
          <w:tab w:val="left" w:pos="1080"/>
          <w:tab w:val="left" w:pos="1440"/>
          <w:tab w:val="left" w:pos="5040"/>
        </w:tabs>
        <w:jc w:val="center"/>
        <w:rPr>
          <w:rFonts w:asciiTheme="minorHAnsi" w:hAnsiTheme="minorHAnsi"/>
          <w:b/>
          <w:color w:val="000000"/>
          <w:sz w:val="20"/>
          <w:szCs w:val="20"/>
        </w:rPr>
      </w:pPr>
    </w:p>
    <w:p w14:paraId="1759B424" w14:textId="77777777" w:rsidR="00DD318F" w:rsidRPr="00737A7B" w:rsidRDefault="00DD318F" w:rsidP="0008350E">
      <w:pPr>
        <w:tabs>
          <w:tab w:val="left" w:pos="0"/>
          <w:tab w:val="left" w:pos="1080"/>
          <w:tab w:val="left" w:pos="1440"/>
          <w:tab w:val="left" w:pos="5040"/>
        </w:tabs>
        <w:jc w:val="center"/>
        <w:rPr>
          <w:rFonts w:asciiTheme="minorHAnsi" w:hAnsiTheme="minorHAnsi"/>
          <w:b/>
          <w:color w:val="000000"/>
          <w:sz w:val="20"/>
          <w:szCs w:val="20"/>
        </w:rPr>
      </w:pPr>
      <w:r w:rsidRPr="00737A7B">
        <w:rPr>
          <w:rFonts w:asciiTheme="minorHAnsi" w:hAnsiTheme="minorHAnsi"/>
          <w:b/>
          <w:color w:val="000000"/>
          <w:sz w:val="20"/>
          <w:szCs w:val="20"/>
        </w:rPr>
        <w:t>VI.</w:t>
      </w:r>
    </w:p>
    <w:p w14:paraId="67609820" w14:textId="77777777" w:rsidR="00DD318F" w:rsidRPr="00737A7B" w:rsidRDefault="00DD318F" w:rsidP="0008350E">
      <w:pPr>
        <w:tabs>
          <w:tab w:val="left" w:pos="0"/>
          <w:tab w:val="left" w:pos="1080"/>
          <w:tab w:val="left" w:pos="1440"/>
          <w:tab w:val="left" w:pos="5040"/>
        </w:tabs>
        <w:rPr>
          <w:rFonts w:asciiTheme="minorHAnsi" w:hAnsiTheme="minorHAnsi"/>
          <w:b/>
          <w:color w:val="000000"/>
          <w:sz w:val="20"/>
          <w:szCs w:val="20"/>
        </w:rPr>
      </w:pPr>
    </w:p>
    <w:p w14:paraId="7FB8F5AA" w14:textId="77777777" w:rsidR="00DD318F" w:rsidRPr="00737A7B" w:rsidRDefault="002F1673" w:rsidP="0008350E">
      <w:pPr>
        <w:tabs>
          <w:tab w:val="left" w:pos="0"/>
        </w:tabs>
        <w:jc w:val="both"/>
        <w:rPr>
          <w:rFonts w:asciiTheme="minorHAnsi" w:hAnsiTheme="minorHAnsi"/>
          <w:color w:val="000000"/>
          <w:sz w:val="20"/>
          <w:szCs w:val="20"/>
        </w:rPr>
      </w:pPr>
      <w:r w:rsidRPr="00737A7B">
        <w:rPr>
          <w:rFonts w:asciiTheme="minorHAnsi" w:hAnsiTheme="minorHAnsi"/>
          <w:color w:val="000000"/>
          <w:sz w:val="20"/>
          <w:szCs w:val="20"/>
        </w:rPr>
        <w:tab/>
        <w:t xml:space="preserve">A Titkárság a Felhasználók iránti kötelezettségét írásban megkötött szerződés alapján vállalja. </w:t>
      </w:r>
    </w:p>
    <w:p w14:paraId="75B56621" w14:textId="77777777" w:rsidR="00DD318F" w:rsidRPr="00737A7B" w:rsidRDefault="00DD318F" w:rsidP="0008350E">
      <w:pPr>
        <w:tabs>
          <w:tab w:val="left" w:pos="0"/>
          <w:tab w:val="left" w:pos="1080"/>
          <w:tab w:val="left" w:pos="1440"/>
          <w:tab w:val="left" w:pos="5040"/>
        </w:tabs>
        <w:jc w:val="both"/>
        <w:rPr>
          <w:rFonts w:asciiTheme="minorHAnsi" w:hAnsiTheme="minorHAnsi"/>
          <w:b/>
          <w:color w:val="000000"/>
          <w:sz w:val="20"/>
          <w:szCs w:val="20"/>
        </w:rPr>
      </w:pPr>
    </w:p>
    <w:p w14:paraId="4B1BE511" w14:textId="77777777" w:rsidR="00DD318F" w:rsidRPr="00737A7B"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r w:rsidRPr="00737A7B">
        <w:rPr>
          <w:rFonts w:asciiTheme="minorHAnsi" w:hAnsiTheme="minorHAnsi"/>
          <w:b/>
          <w:color w:val="000000"/>
          <w:sz w:val="20"/>
          <w:szCs w:val="20"/>
        </w:rPr>
        <w:t>VII.</w:t>
      </w:r>
    </w:p>
    <w:p w14:paraId="082F985E" w14:textId="77777777" w:rsidR="00DD318F" w:rsidRPr="00737A7B" w:rsidRDefault="00DD318F" w:rsidP="0008350E">
      <w:pPr>
        <w:pStyle w:val="BodyTextIndent3"/>
        <w:tabs>
          <w:tab w:val="clear" w:pos="1500"/>
          <w:tab w:val="left" w:pos="5040"/>
        </w:tabs>
        <w:ind w:right="0" w:firstLine="0"/>
        <w:jc w:val="center"/>
        <w:rPr>
          <w:rFonts w:asciiTheme="minorHAnsi" w:hAnsiTheme="minorHAnsi"/>
          <w:b/>
          <w:color w:val="000000"/>
          <w:sz w:val="20"/>
          <w:szCs w:val="20"/>
        </w:rPr>
      </w:pPr>
    </w:p>
    <w:p w14:paraId="24F503CD" w14:textId="77777777" w:rsidR="00DD318F" w:rsidRPr="00737A7B" w:rsidRDefault="006316B4" w:rsidP="0008350E">
      <w:pPr>
        <w:pStyle w:val="BodyTextIndent3"/>
        <w:tabs>
          <w:tab w:val="clear" w:pos="1260"/>
          <w:tab w:val="clear" w:pos="1440"/>
          <w:tab w:val="clear" w:pos="1500"/>
          <w:tab w:val="left" w:pos="0"/>
        </w:tabs>
        <w:ind w:right="0" w:firstLine="0"/>
        <w:rPr>
          <w:rFonts w:asciiTheme="minorHAnsi" w:hAnsiTheme="minorHAnsi"/>
          <w:color w:val="000000"/>
          <w:sz w:val="20"/>
          <w:szCs w:val="20"/>
        </w:rPr>
      </w:pPr>
      <w:r w:rsidRPr="00737A7B">
        <w:rPr>
          <w:rFonts w:asciiTheme="minorHAnsi" w:hAnsiTheme="minorHAnsi"/>
          <w:color w:val="000000"/>
          <w:sz w:val="20"/>
          <w:szCs w:val="20"/>
        </w:rPr>
        <w:tab/>
        <w:t>A jelen határozat végleges és ellene jogorvoslat nem nyújtható be.</w:t>
      </w:r>
    </w:p>
    <w:p w14:paraId="669F850B" w14:textId="77777777" w:rsidR="00DD318F" w:rsidRPr="00737A7B" w:rsidRDefault="00DD318F" w:rsidP="00DD318F">
      <w:pPr>
        <w:jc w:val="both"/>
        <w:rPr>
          <w:rFonts w:asciiTheme="minorHAnsi" w:hAnsiTheme="minorHAnsi"/>
          <w:color w:val="000000"/>
          <w:sz w:val="20"/>
          <w:szCs w:val="20"/>
        </w:rPr>
      </w:pPr>
    </w:p>
    <w:p w14:paraId="10BFF255" w14:textId="77777777" w:rsidR="00DD318F" w:rsidRPr="00737A7B" w:rsidRDefault="00DD318F" w:rsidP="00DD318F">
      <w:pPr>
        <w:jc w:val="both"/>
        <w:rPr>
          <w:rFonts w:asciiTheme="minorHAnsi" w:hAnsiTheme="minorHAnsi"/>
          <w:b/>
          <w:color w:val="000000"/>
          <w:sz w:val="20"/>
          <w:szCs w:val="20"/>
        </w:rPr>
      </w:pPr>
    </w:p>
    <w:p w14:paraId="2EC0599B" w14:textId="77777777" w:rsidR="00DD318F" w:rsidRPr="00737A7B" w:rsidRDefault="00DD318F" w:rsidP="00DD318F">
      <w:pPr>
        <w:jc w:val="center"/>
        <w:rPr>
          <w:rFonts w:asciiTheme="minorHAnsi" w:hAnsiTheme="minorHAnsi"/>
          <w:b/>
          <w:color w:val="000000"/>
          <w:sz w:val="20"/>
          <w:szCs w:val="20"/>
        </w:rPr>
      </w:pPr>
      <w:r w:rsidRPr="00737A7B">
        <w:rPr>
          <w:rFonts w:asciiTheme="minorHAnsi" w:hAnsiTheme="minorHAnsi"/>
          <w:b/>
          <w:color w:val="000000"/>
          <w:sz w:val="20"/>
          <w:szCs w:val="20"/>
        </w:rPr>
        <w:t>VIII.</w:t>
      </w:r>
    </w:p>
    <w:p w14:paraId="243A6807" w14:textId="77777777" w:rsidR="00DD318F" w:rsidRPr="00737A7B" w:rsidRDefault="00DD318F" w:rsidP="00DD318F">
      <w:pPr>
        <w:jc w:val="center"/>
        <w:rPr>
          <w:rFonts w:asciiTheme="minorHAnsi" w:hAnsiTheme="minorHAnsi"/>
          <w:b/>
          <w:color w:val="000000"/>
          <w:sz w:val="20"/>
          <w:szCs w:val="20"/>
        </w:rPr>
      </w:pPr>
    </w:p>
    <w:p w14:paraId="6FB58A6A" w14:textId="77777777" w:rsidR="00DD318F" w:rsidRPr="00737A7B" w:rsidRDefault="002F1673" w:rsidP="002F1673">
      <w:pPr>
        <w:pStyle w:val="BodyTextIndent3"/>
        <w:tabs>
          <w:tab w:val="clear" w:pos="1260"/>
          <w:tab w:val="clear" w:pos="1440"/>
          <w:tab w:val="clear" w:pos="1500"/>
          <w:tab w:val="left" w:pos="0"/>
        </w:tabs>
        <w:ind w:firstLine="0"/>
        <w:rPr>
          <w:rFonts w:asciiTheme="minorHAnsi" w:hAnsiTheme="minorHAnsi"/>
          <w:sz w:val="20"/>
          <w:szCs w:val="20"/>
        </w:rPr>
      </w:pPr>
      <w:r w:rsidRPr="00737A7B">
        <w:rPr>
          <w:rFonts w:asciiTheme="minorHAnsi" w:hAnsiTheme="minorHAnsi"/>
          <w:color w:val="000000"/>
          <w:sz w:val="20"/>
          <w:szCs w:val="20"/>
        </w:rPr>
        <w:tab/>
      </w:r>
      <w:r w:rsidRPr="00737A7B">
        <w:rPr>
          <w:rFonts w:asciiTheme="minorHAnsi" w:hAnsiTheme="minorHAnsi"/>
          <w:sz w:val="20"/>
          <w:szCs w:val="20"/>
        </w:rPr>
        <w:t>A jelen határozat végrehajtásáért a Titkárság Anyagi és Pénzügyi Teendők Főosztálya felelős.</w:t>
      </w:r>
    </w:p>
    <w:p w14:paraId="228BF55A" w14:textId="77777777" w:rsidR="00DD318F" w:rsidRPr="00737A7B" w:rsidRDefault="00DD318F" w:rsidP="00DD318F">
      <w:pPr>
        <w:jc w:val="both"/>
        <w:rPr>
          <w:rFonts w:asciiTheme="minorHAnsi" w:hAnsiTheme="minorHAnsi"/>
          <w:b/>
          <w:color w:val="000000"/>
          <w:sz w:val="20"/>
          <w:szCs w:val="20"/>
        </w:rPr>
      </w:pPr>
    </w:p>
    <w:p w14:paraId="6E504673" w14:textId="77777777" w:rsidR="00DD318F" w:rsidRPr="00737A7B" w:rsidRDefault="00DD318F" w:rsidP="00DD318F">
      <w:pPr>
        <w:jc w:val="both"/>
        <w:rPr>
          <w:rFonts w:asciiTheme="minorHAnsi" w:hAnsiTheme="minorHAnsi"/>
          <w:b/>
          <w:color w:val="000000"/>
          <w:sz w:val="20"/>
          <w:szCs w:val="20"/>
        </w:rPr>
      </w:pPr>
    </w:p>
    <w:p w14:paraId="18AB91EE" w14:textId="77777777" w:rsidR="00DD318F" w:rsidRPr="00737A7B" w:rsidRDefault="00DD318F" w:rsidP="00DD318F">
      <w:pPr>
        <w:jc w:val="both"/>
        <w:rPr>
          <w:rFonts w:asciiTheme="minorHAnsi" w:hAnsiTheme="minorHAnsi"/>
          <w:b/>
          <w:color w:val="000000"/>
          <w:sz w:val="20"/>
          <w:szCs w:val="20"/>
        </w:rPr>
      </w:pPr>
    </w:p>
    <w:p w14:paraId="090A1D86" w14:textId="77777777" w:rsidR="002F1673" w:rsidRPr="00737A7B" w:rsidRDefault="002F1673" w:rsidP="00DD318F">
      <w:pPr>
        <w:jc w:val="both"/>
        <w:rPr>
          <w:rFonts w:asciiTheme="minorHAnsi" w:hAnsiTheme="minorHAnsi"/>
          <w:b/>
          <w:color w:val="000000"/>
          <w:sz w:val="20"/>
          <w:szCs w:val="20"/>
        </w:rPr>
      </w:pPr>
    </w:p>
    <w:p w14:paraId="641B4AC9" w14:textId="77777777" w:rsidR="002F1673" w:rsidRPr="00737A7B" w:rsidRDefault="002F1673" w:rsidP="00DD318F">
      <w:pPr>
        <w:jc w:val="both"/>
        <w:rPr>
          <w:rFonts w:asciiTheme="minorHAnsi" w:hAnsiTheme="minorHAnsi"/>
          <w:b/>
          <w:color w:val="000000"/>
          <w:sz w:val="20"/>
          <w:szCs w:val="20"/>
        </w:rPr>
      </w:pPr>
    </w:p>
    <w:p w14:paraId="0610E833" w14:textId="77777777" w:rsidR="00DD318F" w:rsidRPr="00737A7B" w:rsidRDefault="00DD318F" w:rsidP="00DD318F">
      <w:pPr>
        <w:jc w:val="both"/>
        <w:rPr>
          <w:rFonts w:asciiTheme="minorHAnsi" w:hAnsiTheme="minorHAnsi"/>
          <w:b/>
          <w:color w:val="000000"/>
          <w:sz w:val="20"/>
          <w:szCs w:val="20"/>
        </w:rPr>
      </w:pPr>
      <w:r w:rsidRPr="00737A7B">
        <w:rPr>
          <w:rFonts w:asciiTheme="minorHAnsi" w:hAnsiTheme="minorHAnsi"/>
          <w:b/>
          <w:color w:val="000000"/>
          <w:sz w:val="20"/>
          <w:szCs w:val="20"/>
        </w:rPr>
        <w:t>A határozatot megküldeni:</w:t>
      </w:r>
    </w:p>
    <w:p w14:paraId="51A8A493" w14:textId="77777777" w:rsidR="00DD318F" w:rsidRPr="00737A7B" w:rsidRDefault="00DD318F" w:rsidP="00DD318F">
      <w:pPr>
        <w:numPr>
          <w:ilvl w:val="0"/>
          <w:numId w:val="1"/>
        </w:numPr>
        <w:jc w:val="both"/>
        <w:rPr>
          <w:rFonts w:asciiTheme="minorHAnsi" w:hAnsiTheme="minorHAnsi"/>
          <w:color w:val="000000"/>
          <w:sz w:val="20"/>
          <w:szCs w:val="20"/>
        </w:rPr>
      </w:pPr>
      <w:r w:rsidRPr="00737A7B">
        <w:rPr>
          <w:rFonts w:asciiTheme="minorHAnsi" w:hAnsiTheme="minorHAnsi"/>
          <w:color w:val="000000"/>
          <w:sz w:val="20"/>
          <w:szCs w:val="20"/>
        </w:rPr>
        <w:t>a Titkárság Anyagi és Pénzügyi Teendők Főosztályának,</w:t>
      </w:r>
    </w:p>
    <w:p w14:paraId="4DBE7025" w14:textId="5BCD68B9" w:rsidR="00DD318F" w:rsidRPr="00737A7B" w:rsidRDefault="00737A7B" w:rsidP="00DD318F">
      <w:pPr>
        <w:numPr>
          <w:ilvl w:val="0"/>
          <w:numId w:val="1"/>
        </w:numPr>
        <w:jc w:val="both"/>
        <w:rPr>
          <w:rFonts w:asciiTheme="minorHAnsi" w:hAnsiTheme="minorHAnsi"/>
          <w:color w:val="000000"/>
          <w:sz w:val="20"/>
          <w:szCs w:val="20"/>
        </w:rPr>
      </w:pPr>
      <w:r>
        <w:rPr>
          <w:rFonts w:asciiTheme="minorHAnsi" w:hAnsiTheme="minorHAnsi"/>
          <w:color w:val="000000"/>
          <w:sz w:val="20"/>
          <w:szCs w:val="20"/>
        </w:rPr>
        <w:t>a Levéltárnak.</w:t>
      </w:r>
      <w:bookmarkStart w:id="0" w:name="_GoBack"/>
      <w:bookmarkEnd w:id="0"/>
    </w:p>
    <w:p w14:paraId="1DE125FE" w14:textId="77777777" w:rsidR="00DD318F" w:rsidRPr="00737A7B" w:rsidRDefault="00DD318F" w:rsidP="00DD318F">
      <w:pPr>
        <w:ind w:left="360"/>
        <w:jc w:val="both"/>
        <w:rPr>
          <w:rFonts w:asciiTheme="minorHAnsi" w:hAnsiTheme="minorHAnsi"/>
          <w:color w:val="000000"/>
          <w:sz w:val="20"/>
          <w:szCs w:val="20"/>
        </w:rPr>
      </w:pPr>
    </w:p>
    <w:p w14:paraId="2ADE1941" w14:textId="77777777" w:rsidR="00737A7B" w:rsidRDefault="00737A7B" w:rsidP="00B64D16">
      <w:pPr>
        <w:ind w:left="6732" w:firstLine="348"/>
        <w:jc w:val="both"/>
        <w:rPr>
          <w:rFonts w:asciiTheme="minorHAnsi" w:hAnsiTheme="minorHAnsi"/>
          <w:color w:val="000000"/>
          <w:sz w:val="20"/>
          <w:szCs w:val="20"/>
        </w:rPr>
      </w:pPr>
    </w:p>
    <w:p w14:paraId="0F5DEBD3" w14:textId="64DDCF90" w:rsidR="00737A7B" w:rsidRDefault="00737A7B" w:rsidP="00737A7B">
      <w:pPr>
        <w:ind w:left="6732" w:firstLine="348"/>
        <w:jc w:val="both"/>
        <w:rPr>
          <w:rFonts w:asciiTheme="minorHAnsi" w:hAnsiTheme="minorHAnsi"/>
          <w:color w:val="000000"/>
          <w:sz w:val="20"/>
          <w:szCs w:val="20"/>
        </w:rPr>
      </w:pPr>
      <w:r w:rsidRPr="00737A7B">
        <w:rPr>
          <w:rFonts w:asciiTheme="minorHAnsi" w:hAnsiTheme="minorHAnsi"/>
          <w:color w:val="000000"/>
          <w:sz w:val="20"/>
          <w:szCs w:val="20"/>
        </w:rPr>
        <w:t>Ótott Róbert</w:t>
      </w:r>
    </w:p>
    <w:p w14:paraId="617B3FFD" w14:textId="257B89B0" w:rsidR="00B64D16" w:rsidRPr="00737A7B" w:rsidRDefault="00B64D16" w:rsidP="00B64D16">
      <w:pPr>
        <w:ind w:left="6732" w:firstLine="348"/>
        <w:jc w:val="both"/>
        <w:rPr>
          <w:rFonts w:asciiTheme="minorHAnsi" w:hAnsiTheme="minorHAnsi"/>
          <w:color w:val="000000"/>
          <w:sz w:val="20"/>
          <w:szCs w:val="20"/>
        </w:rPr>
      </w:pPr>
      <w:r w:rsidRPr="00737A7B">
        <w:rPr>
          <w:rFonts w:asciiTheme="minorHAnsi" w:hAnsiTheme="minorHAnsi"/>
          <w:color w:val="000000"/>
          <w:sz w:val="20"/>
          <w:szCs w:val="20"/>
        </w:rPr>
        <w:t>TARTOMÁNYI TITKÁR</w:t>
      </w:r>
    </w:p>
    <w:p w14:paraId="5052A806" w14:textId="77777777" w:rsidR="00B64D16" w:rsidRPr="00737A7B" w:rsidRDefault="00B64D16" w:rsidP="00B64D16">
      <w:pPr>
        <w:ind w:left="360"/>
        <w:jc w:val="both"/>
        <w:rPr>
          <w:rFonts w:asciiTheme="minorHAnsi" w:hAnsiTheme="minorHAnsi"/>
          <w:color w:val="000000"/>
          <w:sz w:val="20"/>
          <w:szCs w:val="20"/>
        </w:rPr>
      </w:pPr>
    </w:p>
    <w:p w14:paraId="5564031F" w14:textId="77777777" w:rsidR="00F63227" w:rsidRPr="00737A7B" w:rsidRDefault="00F63227" w:rsidP="00F63227">
      <w:pPr>
        <w:ind w:left="360"/>
        <w:jc w:val="both"/>
        <w:rPr>
          <w:rFonts w:asciiTheme="minorHAnsi" w:hAnsiTheme="minorHAnsi"/>
          <w:color w:val="000000"/>
          <w:sz w:val="20"/>
          <w:szCs w:val="20"/>
        </w:rPr>
      </w:pPr>
    </w:p>
    <w:p w14:paraId="1D93FEB9" w14:textId="77777777" w:rsidR="00FE315C" w:rsidRPr="00737A7B" w:rsidRDefault="00FE315C" w:rsidP="00BA171C">
      <w:pPr>
        <w:rPr>
          <w:rFonts w:asciiTheme="minorHAnsi" w:hAnsiTheme="minorHAnsi"/>
          <w:sz w:val="20"/>
          <w:szCs w:val="20"/>
        </w:rPr>
      </w:pPr>
    </w:p>
    <w:sectPr w:rsidR="00FE315C" w:rsidRPr="00737A7B" w:rsidSect="00C00B43">
      <w:headerReference w:type="even" r:id="rId1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609B0" w14:textId="77777777" w:rsidR="001104E8" w:rsidRDefault="001104E8">
      <w:r>
        <w:separator/>
      </w:r>
    </w:p>
  </w:endnote>
  <w:endnote w:type="continuationSeparator" w:id="0">
    <w:p w14:paraId="7EB7BDE1" w14:textId="77777777" w:rsidR="001104E8" w:rsidRDefault="00110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01FD61" w14:textId="77777777" w:rsidR="001104E8" w:rsidRDefault="001104E8">
      <w:r>
        <w:separator/>
      </w:r>
    </w:p>
  </w:footnote>
  <w:footnote w:type="continuationSeparator" w:id="0">
    <w:p w14:paraId="34274BC6" w14:textId="77777777" w:rsidR="001104E8" w:rsidRDefault="001104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F7C21" w14:textId="77777777" w:rsidR="0066550D" w:rsidRDefault="000E3C9B" w:rsidP="00FB755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C9FCEA" w14:textId="77777777" w:rsidR="0066550D" w:rsidRDefault="00110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CA09C2"/>
    <w:multiLevelType w:val="hybridMultilevel"/>
    <w:tmpl w:val="6F8CE1E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6082269"/>
    <w:multiLevelType w:val="hybridMultilevel"/>
    <w:tmpl w:val="AA32CC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A0NjS3NDGzsDC1MDNW0lEKTi0uzszPAykwrQUAb6iJliwAAAA="/>
  </w:docVars>
  <w:rsids>
    <w:rsidRoot w:val="00DD318F"/>
    <w:rsid w:val="000271A9"/>
    <w:rsid w:val="000408E3"/>
    <w:rsid w:val="0008350E"/>
    <w:rsid w:val="000B2001"/>
    <w:rsid w:val="000C1486"/>
    <w:rsid w:val="000D712D"/>
    <w:rsid w:val="000E3C9B"/>
    <w:rsid w:val="000E4F1B"/>
    <w:rsid w:val="000E6951"/>
    <w:rsid w:val="000F4D5A"/>
    <w:rsid w:val="001104E8"/>
    <w:rsid w:val="00152CF3"/>
    <w:rsid w:val="00162392"/>
    <w:rsid w:val="00174A71"/>
    <w:rsid w:val="001E263A"/>
    <w:rsid w:val="0021692A"/>
    <w:rsid w:val="00225198"/>
    <w:rsid w:val="002F1673"/>
    <w:rsid w:val="003007F4"/>
    <w:rsid w:val="0030108F"/>
    <w:rsid w:val="00302A9B"/>
    <w:rsid w:val="00304B81"/>
    <w:rsid w:val="00312910"/>
    <w:rsid w:val="00327EE5"/>
    <w:rsid w:val="00337E33"/>
    <w:rsid w:val="003417A1"/>
    <w:rsid w:val="00355D83"/>
    <w:rsid w:val="00363783"/>
    <w:rsid w:val="003A41D0"/>
    <w:rsid w:val="003B03BA"/>
    <w:rsid w:val="003B25ED"/>
    <w:rsid w:val="00400299"/>
    <w:rsid w:val="004539C9"/>
    <w:rsid w:val="00456DA7"/>
    <w:rsid w:val="00460AC8"/>
    <w:rsid w:val="004745CC"/>
    <w:rsid w:val="004A5E90"/>
    <w:rsid w:val="004E07ED"/>
    <w:rsid w:val="005015A2"/>
    <w:rsid w:val="00522879"/>
    <w:rsid w:val="0053467F"/>
    <w:rsid w:val="00556EA2"/>
    <w:rsid w:val="00571577"/>
    <w:rsid w:val="00575DC4"/>
    <w:rsid w:val="005B240F"/>
    <w:rsid w:val="005D4C4F"/>
    <w:rsid w:val="005F69BB"/>
    <w:rsid w:val="006316B4"/>
    <w:rsid w:val="006432DE"/>
    <w:rsid w:val="006B2564"/>
    <w:rsid w:val="006E4B33"/>
    <w:rsid w:val="0070471A"/>
    <w:rsid w:val="00737A7B"/>
    <w:rsid w:val="007645CC"/>
    <w:rsid w:val="007659C6"/>
    <w:rsid w:val="007827C2"/>
    <w:rsid w:val="00784A0D"/>
    <w:rsid w:val="007B12C7"/>
    <w:rsid w:val="007C3F13"/>
    <w:rsid w:val="007D14DD"/>
    <w:rsid w:val="007F402B"/>
    <w:rsid w:val="00805661"/>
    <w:rsid w:val="00827447"/>
    <w:rsid w:val="008309C2"/>
    <w:rsid w:val="00836F4D"/>
    <w:rsid w:val="00840407"/>
    <w:rsid w:val="008721FF"/>
    <w:rsid w:val="00875986"/>
    <w:rsid w:val="008764C7"/>
    <w:rsid w:val="008B5BDC"/>
    <w:rsid w:val="008C4023"/>
    <w:rsid w:val="00910D6B"/>
    <w:rsid w:val="009126F8"/>
    <w:rsid w:val="0092378E"/>
    <w:rsid w:val="009709F3"/>
    <w:rsid w:val="009D68BB"/>
    <w:rsid w:val="00A52077"/>
    <w:rsid w:val="00A902A3"/>
    <w:rsid w:val="00A947BD"/>
    <w:rsid w:val="00B01074"/>
    <w:rsid w:val="00B048B1"/>
    <w:rsid w:val="00B20F70"/>
    <w:rsid w:val="00B304C6"/>
    <w:rsid w:val="00B344EF"/>
    <w:rsid w:val="00B379DB"/>
    <w:rsid w:val="00B513FD"/>
    <w:rsid w:val="00B64D16"/>
    <w:rsid w:val="00B653D8"/>
    <w:rsid w:val="00B662BC"/>
    <w:rsid w:val="00B85528"/>
    <w:rsid w:val="00BA171C"/>
    <w:rsid w:val="00BE2D8E"/>
    <w:rsid w:val="00C27E6D"/>
    <w:rsid w:val="00C53080"/>
    <w:rsid w:val="00C77809"/>
    <w:rsid w:val="00C90341"/>
    <w:rsid w:val="00CA03ED"/>
    <w:rsid w:val="00CA09B7"/>
    <w:rsid w:val="00CB0386"/>
    <w:rsid w:val="00CC60EA"/>
    <w:rsid w:val="00D158ED"/>
    <w:rsid w:val="00D217AA"/>
    <w:rsid w:val="00D453AA"/>
    <w:rsid w:val="00D5661D"/>
    <w:rsid w:val="00DA3541"/>
    <w:rsid w:val="00DC1724"/>
    <w:rsid w:val="00DD318F"/>
    <w:rsid w:val="00E03CAA"/>
    <w:rsid w:val="00E31EDA"/>
    <w:rsid w:val="00E82498"/>
    <w:rsid w:val="00EC149F"/>
    <w:rsid w:val="00ED1929"/>
    <w:rsid w:val="00EE4749"/>
    <w:rsid w:val="00EE7FC8"/>
    <w:rsid w:val="00EF6137"/>
    <w:rsid w:val="00F20636"/>
    <w:rsid w:val="00F22062"/>
    <w:rsid w:val="00F32408"/>
    <w:rsid w:val="00F63227"/>
    <w:rsid w:val="00F649C5"/>
    <w:rsid w:val="00F66D9C"/>
    <w:rsid w:val="00F80260"/>
    <w:rsid w:val="00F82584"/>
    <w:rsid w:val="00FA3892"/>
    <w:rsid w:val="00FC3668"/>
    <w:rsid w:val="00FD1CB3"/>
    <w:rsid w:val="00FE31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5C76B"/>
  <w15:docId w15:val="{E36A31E5-6917-468A-8DEF-78E031BC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18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uiPriority w:val="99"/>
    <w:rsid w:val="00DD318F"/>
    <w:pPr>
      <w:tabs>
        <w:tab w:val="left" w:pos="5423"/>
        <w:tab w:val="left" w:pos="5797"/>
      </w:tabs>
      <w:ind w:left="-374" w:right="-833" w:firstLine="374"/>
      <w:jc w:val="both"/>
    </w:pPr>
  </w:style>
  <w:style w:type="paragraph" w:styleId="BodyTextIndent3">
    <w:name w:val="Body Text Indent 3"/>
    <w:basedOn w:val="Normal"/>
    <w:link w:val="BodyTextIndent3Char"/>
    <w:uiPriority w:val="99"/>
    <w:rsid w:val="00DD318F"/>
    <w:pPr>
      <w:tabs>
        <w:tab w:val="left" w:pos="1260"/>
        <w:tab w:val="left" w:pos="1440"/>
        <w:tab w:val="num" w:pos="1500"/>
      </w:tabs>
      <w:ind w:right="102" w:firstLine="1080"/>
      <w:jc w:val="both"/>
    </w:pPr>
    <w:rPr>
      <w:rFonts w:eastAsia="Calibri"/>
      <w:lang w:eastAsia="ja-JP"/>
    </w:rPr>
  </w:style>
  <w:style w:type="character" w:customStyle="1" w:styleId="BodyTextIndent3Char">
    <w:name w:val="Body Text Indent 3 Char"/>
    <w:basedOn w:val="DefaultParagraphFont"/>
    <w:link w:val="BodyTextIndent3"/>
    <w:uiPriority w:val="99"/>
    <w:rsid w:val="00DD318F"/>
    <w:rPr>
      <w:rFonts w:ascii="Times New Roman" w:eastAsia="Calibri" w:hAnsi="Times New Roman" w:cs="Times New Roman"/>
      <w:sz w:val="24"/>
      <w:szCs w:val="24"/>
      <w:lang w:val="hu-HU" w:eastAsia="ja-JP"/>
    </w:rPr>
  </w:style>
  <w:style w:type="paragraph" w:styleId="Header">
    <w:name w:val="header"/>
    <w:basedOn w:val="Normal"/>
    <w:link w:val="HeaderChar"/>
    <w:uiPriority w:val="99"/>
    <w:rsid w:val="00DD318F"/>
    <w:pPr>
      <w:tabs>
        <w:tab w:val="center" w:pos="4320"/>
        <w:tab w:val="right" w:pos="8640"/>
      </w:tabs>
    </w:pPr>
    <w:rPr>
      <w:rFonts w:eastAsia="Calibri"/>
      <w:lang w:eastAsia="ja-JP"/>
    </w:rPr>
  </w:style>
  <w:style w:type="character" w:customStyle="1" w:styleId="HeaderChar">
    <w:name w:val="Header Char"/>
    <w:basedOn w:val="DefaultParagraphFont"/>
    <w:link w:val="Header"/>
    <w:uiPriority w:val="99"/>
    <w:rsid w:val="00DD318F"/>
    <w:rPr>
      <w:rFonts w:ascii="Times New Roman" w:eastAsia="Calibri" w:hAnsi="Times New Roman" w:cs="Times New Roman"/>
      <w:sz w:val="24"/>
      <w:szCs w:val="24"/>
      <w:lang w:val="hu-HU" w:eastAsia="ja-JP"/>
    </w:rPr>
  </w:style>
  <w:style w:type="character" w:styleId="PageNumber">
    <w:name w:val="page number"/>
    <w:uiPriority w:val="99"/>
    <w:rsid w:val="00DD318F"/>
    <w:rPr>
      <w:rFonts w:cs="Times New Roman"/>
    </w:rPr>
  </w:style>
  <w:style w:type="table" w:styleId="TableGrid">
    <w:name w:val="Table Grid"/>
    <w:basedOn w:val="TableNormal"/>
    <w:uiPriority w:val="39"/>
    <w:rsid w:val="00DD31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D318F"/>
    <w:rPr>
      <w:rFonts w:ascii="Tahoma" w:hAnsi="Tahoma" w:cs="Tahoma"/>
      <w:sz w:val="16"/>
      <w:szCs w:val="16"/>
    </w:rPr>
  </w:style>
  <w:style w:type="character" w:customStyle="1" w:styleId="BalloonTextChar">
    <w:name w:val="Balloon Text Char"/>
    <w:basedOn w:val="DefaultParagraphFont"/>
    <w:link w:val="BalloonText"/>
    <w:uiPriority w:val="99"/>
    <w:semiHidden/>
    <w:rsid w:val="00DD318F"/>
    <w:rPr>
      <w:rFonts w:ascii="Tahoma" w:eastAsia="Times New Roman" w:hAnsi="Tahoma" w:cs="Tahoma"/>
      <w:sz w:val="16"/>
      <w:szCs w:val="16"/>
      <w:lang w:val="hu-HU"/>
    </w:rPr>
  </w:style>
  <w:style w:type="paragraph" w:styleId="ListParagraph">
    <w:name w:val="List Paragraph"/>
    <w:basedOn w:val="Normal"/>
    <w:uiPriority w:val="34"/>
    <w:qFormat/>
    <w:rsid w:val="009126F8"/>
    <w:pPr>
      <w:ind w:left="720"/>
      <w:contextualSpacing/>
    </w:pPr>
  </w:style>
  <w:style w:type="table" w:customStyle="1" w:styleId="TableGrid1">
    <w:name w:val="Table Grid1"/>
    <w:basedOn w:val="TableNormal"/>
    <w:next w:val="TableGrid"/>
    <w:uiPriority w:val="39"/>
    <w:rsid w:val="005B2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5CC"/>
    <w:rPr>
      <w:sz w:val="16"/>
      <w:szCs w:val="16"/>
    </w:rPr>
  </w:style>
  <w:style w:type="paragraph" w:styleId="CommentText">
    <w:name w:val="annotation text"/>
    <w:basedOn w:val="Normal"/>
    <w:link w:val="CommentTextChar"/>
    <w:uiPriority w:val="99"/>
    <w:semiHidden/>
    <w:unhideWhenUsed/>
    <w:rsid w:val="004745CC"/>
    <w:rPr>
      <w:sz w:val="20"/>
      <w:szCs w:val="20"/>
    </w:rPr>
  </w:style>
  <w:style w:type="character" w:customStyle="1" w:styleId="CommentTextChar">
    <w:name w:val="Comment Text Char"/>
    <w:basedOn w:val="DefaultParagraphFont"/>
    <w:link w:val="CommentText"/>
    <w:uiPriority w:val="99"/>
    <w:semiHidden/>
    <w:rsid w:val="004745CC"/>
    <w:rPr>
      <w:rFonts w:ascii="Times New Roman" w:eastAsia="Times New Roman" w:hAnsi="Times New Roman" w:cs="Times New Roman"/>
      <w:sz w:val="20"/>
      <w:szCs w:val="20"/>
      <w:lang w:val="hu-HU"/>
    </w:rPr>
  </w:style>
  <w:style w:type="paragraph" w:styleId="CommentSubject">
    <w:name w:val="annotation subject"/>
    <w:basedOn w:val="CommentText"/>
    <w:next w:val="CommentText"/>
    <w:link w:val="CommentSubjectChar"/>
    <w:uiPriority w:val="99"/>
    <w:semiHidden/>
    <w:unhideWhenUsed/>
    <w:rsid w:val="004745CC"/>
    <w:rPr>
      <w:b/>
      <w:bCs/>
    </w:rPr>
  </w:style>
  <w:style w:type="character" w:customStyle="1" w:styleId="CommentSubjectChar">
    <w:name w:val="Comment Subject Char"/>
    <w:basedOn w:val="CommentTextChar"/>
    <w:link w:val="CommentSubject"/>
    <w:uiPriority w:val="99"/>
    <w:semiHidden/>
    <w:rsid w:val="004745CC"/>
    <w:rPr>
      <w:rFonts w:ascii="Times New Roman" w:eastAsia="Times New Roman" w:hAnsi="Times New Roman" w:cs="Times New Roman"/>
      <w:b/>
      <w:bCs/>
      <w:sz w:val="20"/>
      <w:szCs w:val="20"/>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187499">
      <w:bodyDiv w:val="1"/>
      <w:marLeft w:val="0"/>
      <w:marRight w:val="0"/>
      <w:marTop w:val="0"/>
      <w:marBottom w:val="0"/>
      <w:divBdr>
        <w:top w:val="none" w:sz="0" w:space="0" w:color="auto"/>
        <w:left w:val="none" w:sz="0" w:space="0" w:color="auto"/>
        <w:bottom w:val="none" w:sz="0" w:space="0" w:color="auto"/>
        <w:right w:val="none" w:sz="0" w:space="0" w:color="auto"/>
      </w:divBdr>
    </w:div>
    <w:div w:id="512693261">
      <w:bodyDiv w:val="1"/>
      <w:marLeft w:val="0"/>
      <w:marRight w:val="0"/>
      <w:marTop w:val="0"/>
      <w:marBottom w:val="0"/>
      <w:divBdr>
        <w:top w:val="none" w:sz="0" w:space="0" w:color="auto"/>
        <w:left w:val="none" w:sz="0" w:space="0" w:color="auto"/>
        <w:bottom w:val="none" w:sz="0" w:space="0" w:color="auto"/>
        <w:right w:val="none" w:sz="0" w:space="0" w:color="auto"/>
      </w:divBdr>
    </w:div>
    <w:div w:id="1549680271">
      <w:bodyDiv w:val="1"/>
      <w:marLeft w:val="0"/>
      <w:marRight w:val="0"/>
      <w:marTop w:val="0"/>
      <w:marBottom w:val="0"/>
      <w:divBdr>
        <w:top w:val="none" w:sz="0" w:space="0" w:color="auto"/>
        <w:left w:val="none" w:sz="0" w:space="0" w:color="auto"/>
        <w:bottom w:val="none" w:sz="0" w:space="0" w:color="auto"/>
        <w:right w:val="none" w:sz="0" w:space="0" w:color="auto"/>
      </w:divBdr>
    </w:div>
    <w:div w:id="1791045108">
      <w:bodyDiv w:val="1"/>
      <w:marLeft w:val="0"/>
      <w:marRight w:val="0"/>
      <w:marTop w:val="0"/>
      <w:marBottom w:val="0"/>
      <w:divBdr>
        <w:top w:val="none" w:sz="0" w:space="0" w:color="auto"/>
        <w:left w:val="none" w:sz="0" w:space="0" w:color="auto"/>
        <w:bottom w:val="none" w:sz="0" w:space="0" w:color="auto"/>
        <w:right w:val="none" w:sz="0" w:space="0" w:color="auto"/>
      </w:divBdr>
    </w:div>
    <w:div w:id="18460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unz@vojvodin&#1072;.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CCA13-5F9E-455D-87C1-6D64E4145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901</Words>
  <Characters>6451</Characters>
  <Application>Microsoft Office Word</Application>
  <DocSecurity>0</DocSecurity>
  <Lines>257</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 Mladjenovic</dc:creator>
  <cp:lastModifiedBy>Sabina Terteli</cp:lastModifiedBy>
  <cp:revision>21</cp:revision>
  <cp:lastPrinted>2023-04-19T06:38:00Z</cp:lastPrinted>
  <dcterms:created xsi:type="dcterms:W3CDTF">2024-04-04T09:44:00Z</dcterms:created>
  <dcterms:modified xsi:type="dcterms:W3CDTF">2025-03-24T09:38:00Z</dcterms:modified>
</cp:coreProperties>
</file>