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08" w:type="dxa"/>
        <w:tblLayout w:type="fixed"/>
        <w:tblLook w:val="04A0" w:firstRow="1" w:lastRow="0" w:firstColumn="1" w:lastColumn="0" w:noHBand="0" w:noVBand="1"/>
      </w:tblPr>
      <w:tblGrid>
        <w:gridCol w:w="1276"/>
        <w:gridCol w:w="1276"/>
        <w:gridCol w:w="3010"/>
        <w:gridCol w:w="3369"/>
        <w:gridCol w:w="1276"/>
      </w:tblGrid>
      <w:tr w:rsidR="00DD318F" w:rsidRPr="00D453AA" w14:paraId="4B0323DC" w14:textId="77777777" w:rsidTr="00860A60">
        <w:trPr>
          <w:trHeight w:val="1975"/>
        </w:trPr>
        <w:tc>
          <w:tcPr>
            <w:tcW w:w="2552" w:type="dxa"/>
            <w:gridSpan w:val="2"/>
          </w:tcPr>
          <w:p w14:paraId="6879890D" w14:textId="77777777" w:rsidR="00DD318F" w:rsidRPr="00D453AA" w:rsidRDefault="00DD318F" w:rsidP="00860A60">
            <w:pPr>
              <w:tabs>
                <w:tab w:val="center" w:pos="4703"/>
                <w:tab w:val="right" w:pos="9406"/>
              </w:tabs>
              <w:ind w:left="-198" w:firstLine="108"/>
              <w:rPr>
                <w:rFonts w:asciiTheme="minorHAnsi" w:hAnsiTheme="minorHAnsi"/>
                <w:color w:val="000000"/>
                <w:sz w:val="20"/>
                <w:szCs w:val="20"/>
              </w:rPr>
            </w:pPr>
            <w:r>
              <w:rPr>
                <w:rFonts w:asciiTheme="minorHAnsi" w:hAnsiTheme="minorHAnsi"/>
                <w:noProof/>
                <w:color w:val="000000"/>
                <w:sz w:val="20"/>
                <w:szCs w:val="20"/>
                <w:lang w:val="en-US"/>
              </w:rPr>
              <w:drawing>
                <wp:inline distT="0" distB="0" distL="0" distR="0" wp14:anchorId="519FC62A" wp14:editId="7982139E">
                  <wp:extent cx="1487170" cy="962025"/>
                  <wp:effectExtent l="0" t="0" r="0" b="9525"/>
                  <wp:docPr id="2" name="Picture 2" descr="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7655" w:type="dxa"/>
            <w:gridSpan w:val="3"/>
          </w:tcPr>
          <w:p w14:paraId="198B9FBA" w14:textId="77777777" w:rsidR="00DD318F" w:rsidRPr="00D453AA" w:rsidRDefault="00DD318F" w:rsidP="00860A60">
            <w:pPr>
              <w:tabs>
                <w:tab w:val="center" w:pos="4703"/>
                <w:tab w:val="right" w:pos="9406"/>
              </w:tabs>
              <w:rPr>
                <w:rFonts w:asciiTheme="minorHAnsi" w:hAnsiTheme="minorHAnsi"/>
                <w:sz w:val="20"/>
                <w:szCs w:val="20"/>
              </w:rPr>
            </w:pPr>
            <w:r>
              <w:rPr>
                <w:rFonts w:asciiTheme="minorHAnsi" w:hAnsiTheme="minorHAnsi"/>
                <w:sz w:val="20"/>
                <w:szCs w:val="20"/>
              </w:rPr>
              <w:t>Srbská republika</w:t>
            </w:r>
          </w:p>
          <w:p w14:paraId="1C7B5A8B" w14:textId="77777777" w:rsidR="00DD318F" w:rsidRPr="00D453AA" w:rsidRDefault="00DD318F" w:rsidP="00860A60">
            <w:pPr>
              <w:rPr>
                <w:rFonts w:asciiTheme="minorHAnsi" w:hAnsiTheme="minorHAnsi"/>
                <w:sz w:val="20"/>
                <w:szCs w:val="20"/>
              </w:rPr>
            </w:pPr>
            <w:r>
              <w:rPr>
                <w:rFonts w:asciiTheme="minorHAnsi" w:hAnsiTheme="minorHAnsi"/>
                <w:sz w:val="20"/>
                <w:szCs w:val="20"/>
              </w:rPr>
              <w:t>Autonómna pokrajina Vojvodina</w:t>
            </w:r>
          </w:p>
          <w:p w14:paraId="434D5446" w14:textId="77777777" w:rsidR="00DD318F" w:rsidRPr="00D453AA" w:rsidRDefault="00DD318F" w:rsidP="00860A60">
            <w:pPr>
              <w:rPr>
                <w:rFonts w:asciiTheme="minorHAnsi" w:hAnsiTheme="minorHAnsi"/>
                <w:b/>
                <w:sz w:val="20"/>
                <w:szCs w:val="20"/>
              </w:rPr>
            </w:pPr>
            <w:r>
              <w:rPr>
                <w:rFonts w:asciiTheme="minorHAnsi" w:hAnsiTheme="minorHAnsi"/>
                <w:b/>
                <w:sz w:val="20"/>
                <w:szCs w:val="20"/>
              </w:rPr>
              <w:t>Pokrajinský sekretariát vzdelávania, predpisov,</w:t>
            </w:r>
          </w:p>
          <w:p w14:paraId="08A6C9BD" w14:textId="77777777" w:rsidR="00DD318F" w:rsidRPr="00D453AA" w:rsidRDefault="00DD318F" w:rsidP="00860A60">
            <w:pPr>
              <w:rPr>
                <w:rFonts w:asciiTheme="minorHAnsi" w:hAnsiTheme="minorHAnsi"/>
                <w:b/>
                <w:sz w:val="20"/>
                <w:szCs w:val="20"/>
              </w:rPr>
            </w:pPr>
            <w:r>
              <w:rPr>
                <w:rFonts w:asciiTheme="minorHAnsi" w:hAnsiTheme="minorHAnsi"/>
                <w:b/>
                <w:sz w:val="20"/>
                <w:szCs w:val="20"/>
              </w:rPr>
              <w:t>správy a národnostných menšín – národnostných spoločenstiev</w:t>
            </w:r>
          </w:p>
          <w:p w14:paraId="01961601" w14:textId="77777777" w:rsidR="00DD318F" w:rsidRPr="00D453AA" w:rsidRDefault="00DD318F" w:rsidP="00860A60">
            <w:pPr>
              <w:tabs>
                <w:tab w:val="center" w:pos="4703"/>
                <w:tab w:val="right" w:pos="9406"/>
              </w:tabs>
              <w:rPr>
                <w:rFonts w:asciiTheme="minorHAnsi" w:hAnsiTheme="minorHAnsi"/>
                <w:sz w:val="20"/>
                <w:szCs w:val="20"/>
              </w:rPr>
            </w:pPr>
            <w:r>
              <w:rPr>
                <w:rFonts w:asciiTheme="minorHAnsi" w:hAnsiTheme="minorHAnsi"/>
                <w:sz w:val="20"/>
                <w:szCs w:val="20"/>
              </w:rPr>
              <w:t>Bulvár Mihajla Pupina 16, 21 000 Nový Sad</w:t>
            </w:r>
          </w:p>
          <w:p w14:paraId="75D6DCA2" w14:textId="77777777" w:rsidR="00DD318F" w:rsidRPr="00D453AA" w:rsidRDefault="007F402B" w:rsidP="00860A60">
            <w:pPr>
              <w:tabs>
                <w:tab w:val="center" w:pos="4703"/>
                <w:tab w:val="right" w:pos="9406"/>
              </w:tabs>
              <w:rPr>
                <w:rFonts w:asciiTheme="minorHAnsi" w:hAnsiTheme="minorHAnsi"/>
                <w:sz w:val="20"/>
                <w:szCs w:val="20"/>
              </w:rPr>
            </w:pPr>
            <w:r>
              <w:rPr>
                <w:rFonts w:asciiTheme="minorHAnsi" w:hAnsiTheme="minorHAnsi"/>
                <w:sz w:val="20"/>
                <w:szCs w:val="20"/>
              </w:rPr>
              <w:t>T: +381 21 487 43 30</w:t>
            </w:r>
          </w:p>
          <w:p w14:paraId="4EDB1C80" w14:textId="77777777" w:rsidR="00DD318F" w:rsidRPr="00D453AA" w:rsidRDefault="00567599" w:rsidP="00860A60">
            <w:pPr>
              <w:tabs>
                <w:tab w:val="center" w:pos="4703"/>
                <w:tab w:val="right" w:pos="9406"/>
              </w:tabs>
              <w:rPr>
                <w:rFonts w:asciiTheme="minorHAnsi" w:hAnsiTheme="minorHAnsi"/>
                <w:sz w:val="20"/>
                <w:szCs w:val="20"/>
              </w:rPr>
            </w:pPr>
            <w:hyperlink r:id="rId9" w:history="1">
              <w:r w:rsidR="00A947BD">
                <w:rPr>
                  <w:rFonts w:asciiTheme="minorHAnsi" w:hAnsiTheme="minorHAnsi"/>
                  <w:color w:val="0000FF"/>
                  <w:sz w:val="20"/>
                  <w:szCs w:val="20"/>
                  <w:u w:val="single"/>
                </w:rPr>
                <w:t>ounz@vojvodinа.gov.rs</w:t>
              </w:r>
            </w:hyperlink>
          </w:p>
          <w:p w14:paraId="46E14439" w14:textId="77777777" w:rsidR="00DD318F" w:rsidRPr="00D453AA" w:rsidRDefault="00DD318F" w:rsidP="00860A60">
            <w:pPr>
              <w:tabs>
                <w:tab w:val="center" w:pos="4703"/>
                <w:tab w:val="right" w:pos="9406"/>
              </w:tabs>
              <w:rPr>
                <w:rFonts w:asciiTheme="minorHAnsi" w:hAnsiTheme="minorHAnsi"/>
                <w:color w:val="000000"/>
                <w:sz w:val="20"/>
                <w:szCs w:val="20"/>
                <w:lang w:val="ru-RU"/>
              </w:rPr>
            </w:pPr>
          </w:p>
        </w:tc>
      </w:tr>
      <w:tr w:rsidR="00DD318F" w:rsidRPr="00D453AA" w14:paraId="04B9F5A4" w14:textId="77777777" w:rsidTr="009D68BB">
        <w:trPr>
          <w:gridAfter w:val="1"/>
          <w:wAfter w:w="1276" w:type="dxa"/>
          <w:trHeight w:val="305"/>
        </w:trPr>
        <w:tc>
          <w:tcPr>
            <w:tcW w:w="1276" w:type="dxa"/>
          </w:tcPr>
          <w:p w14:paraId="52839101" w14:textId="77777777" w:rsidR="00DD318F" w:rsidRPr="00D453AA" w:rsidRDefault="00DD318F" w:rsidP="00860A60">
            <w:pPr>
              <w:tabs>
                <w:tab w:val="center" w:pos="4703"/>
                <w:tab w:val="right" w:pos="9406"/>
              </w:tabs>
              <w:ind w:left="-198" w:firstLine="108"/>
              <w:rPr>
                <w:rFonts w:asciiTheme="minorHAnsi" w:eastAsia="Calibri" w:hAnsiTheme="minorHAnsi"/>
                <w:noProof/>
                <w:color w:val="000000"/>
                <w:sz w:val="20"/>
                <w:szCs w:val="20"/>
              </w:rPr>
            </w:pPr>
          </w:p>
        </w:tc>
        <w:tc>
          <w:tcPr>
            <w:tcW w:w="4286" w:type="dxa"/>
            <w:gridSpan w:val="2"/>
          </w:tcPr>
          <w:p w14:paraId="1C5EA44A" w14:textId="2FE3AC9C" w:rsidR="00DD318F" w:rsidRPr="00F66D9C" w:rsidRDefault="00DD318F" w:rsidP="00860A60">
            <w:pPr>
              <w:tabs>
                <w:tab w:val="center" w:pos="4703"/>
                <w:tab w:val="right" w:pos="9406"/>
              </w:tabs>
              <w:rPr>
                <w:rFonts w:asciiTheme="minorHAnsi" w:eastAsia="Calibri" w:hAnsiTheme="minorHAnsi"/>
                <w:color w:val="000000"/>
                <w:sz w:val="20"/>
                <w:szCs w:val="20"/>
              </w:rPr>
            </w:pPr>
            <w:r>
              <w:rPr>
                <w:rFonts w:asciiTheme="minorHAnsi" w:hAnsiTheme="minorHAnsi"/>
                <w:color w:val="000000"/>
                <w:sz w:val="20"/>
                <w:szCs w:val="20"/>
              </w:rPr>
              <w:t xml:space="preserve">ČÍSLO: </w:t>
            </w:r>
            <w:r>
              <w:rPr>
                <w:rFonts w:asciiTheme="minorHAnsi" w:hAnsiTheme="minorHAnsi"/>
                <w:sz w:val="20"/>
                <w:szCs w:val="20"/>
              </w:rPr>
              <w:t xml:space="preserve">000326963 2025 09427 001 001 000 001           </w:t>
            </w:r>
          </w:p>
          <w:p w14:paraId="75D164F3" w14:textId="77777777" w:rsidR="00DD318F" w:rsidRPr="00F66D9C" w:rsidRDefault="00DD318F" w:rsidP="00860A60">
            <w:pPr>
              <w:tabs>
                <w:tab w:val="center" w:pos="4703"/>
                <w:tab w:val="right" w:pos="9406"/>
              </w:tabs>
              <w:rPr>
                <w:rFonts w:asciiTheme="minorHAnsi" w:eastAsia="Calibri" w:hAnsiTheme="minorHAnsi"/>
                <w:color w:val="000000"/>
                <w:sz w:val="20"/>
                <w:szCs w:val="20"/>
              </w:rPr>
            </w:pPr>
          </w:p>
        </w:tc>
        <w:tc>
          <w:tcPr>
            <w:tcW w:w="3369" w:type="dxa"/>
          </w:tcPr>
          <w:p w14:paraId="7D1AB5B6" w14:textId="33F30673" w:rsidR="00DD318F" w:rsidRPr="00FD1CB3" w:rsidRDefault="009D68BB" w:rsidP="007645CC">
            <w:pPr>
              <w:tabs>
                <w:tab w:val="center" w:pos="4703"/>
                <w:tab w:val="right" w:pos="9406"/>
              </w:tabs>
              <w:rPr>
                <w:rFonts w:asciiTheme="minorHAnsi" w:eastAsia="Calibri" w:hAnsiTheme="minorHAnsi"/>
                <w:color w:val="000000"/>
                <w:sz w:val="20"/>
                <w:szCs w:val="20"/>
                <w:highlight w:val="cyan"/>
              </w:rPr>
            </w:pPr>
            <w:r>
              <w:rPr>
                <w:rFonts w:asciiTheme="minorHAnsi" w:hAnsiTheme="minorHAnsi"/>
                <w:color w:val="000000"/>
                <w:sz w:val="20"/>
                <w:szCs w:val="20"/>
              </w:rPr>
              <w:t xml:space="preserve">                DÁTUM: </w:t>
            </w:r>
            <w:r>
              <w:rPr>
                <w:rFonts w:asciiTheme="minorHAnsi" w:hAnsiTheme="minorHAnsi"/>
                <w:sz w:val="20"/>
                <w:szCs w:val="20"/>
              </w:rPr>
              <w:t>21. 3. 2025</w:t>
            </w:r>
          </w:p>
        </w:tc>
      </w:tr>
    </w:tbl>
    <w:p w14:paraId="6D11450E" w14:textId="77777777" w:rsidR="00DD318F" w:rsidRPr="00D453AA" w:rsidRDefault="00DD318F" w:rsidP="00DD318F">
      <w:pPr>
        <w:rPr>
          <w:rFonts w:asciiTheme="minorHAnsi" w:hAnsiTheme="minorHAnsi"/>
          <w:color w:val="000000"/>
          <w:sz w:val="20"/>
          <w:szCs w:val="20"/>
          <w:lang w:val="ru-RU"/>
        </w:rPr>
      </w:pPr>
    </w:p>
    <w:p w14:paraId="4A9317EE" w14:textId="0348F0CD" w:rsidR="00DD318F" w:rsidRPr="00ED1929" w:rsidRDefault="00DD318F" w:rsidP="007659C6">
      <w:pPr>
        <w:ind w:firstLine="708"/>
        <w:jc w:val="both"/>
        <w:rPr>
          <w:rFonts w:asciiTheme="minorHAnsi" w:hAnsiTheme="minorHAnsi"/>
          <w:sz w:val="20"/>
          <w:szCs w:val="20"/>
        </w:rPr>
      </w:pPr>
      <w:r>
        <w:rPr>
          <w:rFonts w:asciiTheme="minorHAnsi" w:hAnsiTheme="minorHAnsi"/>
          <w:sz w:val="20"/>
          <w:szCs w:val="20"/>
        </w:rPr>
        <w:t>Podľa článkov 15 a 16 odsek 5 a článku 24 odsek 2 Pokrajinského parlamentného uznesenia o pokrajinskej správe (Úradný vestník APV č. 37/14, 54/14 – iné uznesenie, 37/16, 29/17, 24/19, 66/20 a 38/2021),</w:t>
      </w:r>
      <w:r>
        <w:rPr>
          <w:sz w:val="20"/>
          <w:szCs w:val="20"/>
        </w:rPr>
        <w:t xml:space="preserve"> </w:t>
      </w:r>
      <w:r>
        <w:rPr>
          <w:rFonts w:ascii="Calibri" w:hAnsi="Calibri"/>
          <w:sz w:val="20"/>
          <w:szCs w:val="20"/>
        </w:rPr>
        <w:t xml:space="preserve">článku 8 Pokrajinského parlamentného uznesenia o prideľovaní rozpočtových prostriedkov na financovanie a spolufinancovanie programových aktivít a projektov v oblasti základnej a strednej výchovy a vzdelávania a žiackeho štandardu v Autonómnej pokrajine Vojvodine (Úradný vestník APV č. </w:t>
      </w:r>
      <w:r>
        <w:rPr>
          <w:sz w:val="20"/>
          <w:szCs w:val="20"/>
        </w:rPr>
        <w:t>14/2014 a 10/17) a článku 9</w:t>
      </w:r>
      <w:r>
        <w:rPr>
          <w:rFonts w:asciiTheme="minorHAnsi" w:hAnsiTheme="minorHAnsi"/>
          <w:sz w:val="20"/>
          <w:szCs w:val="20"/>
        </w:rPr>
        <w:t xml:space="preserve"> Pravidiel о pridelení rozpočtových prostriedkov Pokrajinského sekretariátu vzdelávania, predpisov, správy a národnostných menšín – národnostných spoločenstiev na financovanie a spolufinacovanie obstarania vybavenia pre základné školy, ktoré majú status verejne uznávaných organizátorov aktivít formálneho základného vzdelávania dospelých na území Autonómnej pokrajiny na rok 2025 Vojvodiny (Úradný vestník APV č. 7/25) a po uskutočnenom Súbehu na financovanie a spolufinancovanie  obstarávania výbavy pre základné školy v školy, ktoré majú status verejne uznávaných organizátorov aktivít formálneho základného vzdelávania dospelých na území Autonómnej pokrajine Vojvodine v roku 2025 (Úradný vestník APV č. 7/25), pokrajinský tajomník vzdelávania, predpisov, správy a národnostných menšín – národnostných spoločenstiev vynáša:</w:t>
      </w:r>
    </w:p>
    <w:p w14:paraId="0809EA65" w14:textId="77777777" w:rsidR="00DD318F" w:rsidRPr="00D453AA" w:rsidRDefault="00DD318F" w:rsidP="00DD318F">
      <w:pPr>
        <w:jc w:val="both"/>
        <w:rPr>
          <w:rFonts w:asciiTheme="minorHAnsi" w:hAnsiTheme="minorHAnsi"/>
          <w:color w:val="000000"/>
          <w:sz w:val="20"/>
          <w:szCs w:val="20"/>
          <w:lang w:val="ru-RU"/>
        </w:rPr>
      </w:pPr>
    </w:p>
    <w:p w14:paraId="7F71CB80" w14:textId="77777777" w:rsidR="00DD318F" w:rsidRPr="00D453AA" w:rsidRDefault="00DD318F" w:rsidP="00DD318F">
      <w:pPr>
        <w:jc w:val="center"/>
        <w:rPr>
          <w:rFonts w:asciiTheme="minorHAnsi" w:hAnsiTheme="minorHAnsi"/>
          <w:b/>
          <w:color w:val="000000"/>
          <w:sz w:val="20"/>
          <w:szCs w:val="20"/>
        </w:rPr>
      </w:pPr>
      <w:r>
        <w:rPr>
          <w:rFonts w:asciiTheme="minorHAnsi" w:hAnsiTheme="minorHAnsi"/>
          <w:b/>
          <w:color w:val="000000"/>
          <w:sz w:val="20"/>
          <w:szCs w:val="20"/>
        </w:rPr>
        <w:t>ROZHODNUTIE</w:t>
      </w:r>
    </w:p>
    <w:p w14:paraId="4B98F126" w14:textId="3E819F11" w:rsidR="00DD318F" w:rsidRPr="00D453AA" w:rsidRDefault="00DD318F" w:rsidP="00DD318F">
      <w:pPr>
        <w:tabs>
          <w:tab w:val="left" w:pos="3420"/>
        </w:tabs>
        <w:ind w:right="-214"/>
        <w:jc w:val="center"/>
        <w:rPr>
          <w:rFonts w:asciiTheme="minorHAnsi" w:hAnsiTheme="minorHAnsi"/>
          <w:b/>
          <w:color w:val="000000"/>
          <w:sz w:val="20"/>
          <w:szCs w:val="20"/>
        </w:rPr>
      </w:pPr>
      <w:r>
        <w:rPr>
          <w:rFonts w:asciiTheme="minorHAnsi" w:hAnsiTheme="minorHAnsi"/>
          <w:b/>
          <w:sz w:val="20"/>
          <w:szCs w:val="20"/>
        </w:rPr>
        <w:t>О  PRIDELENÍ ROZPOČTOVÝCH PROSTRIEDKOV POKRAJINSKÉHO SEKRETARIÁTU VZDELÁVANIA, PREDPISOV,</w:t>
      </w:r>
      <w:r w:rsidR="0034772B">
        <w:rPr>
          <w:rFonts w:asciiTheme="minorHAnsi" w:hAnsiTheme="minorHAnsi"/>
          <w:b/>
          <w:sz w:val="20"/>
          <w:szCs w:val="20"/>
        </w:rPr>
        <w:t xml:space="preserve"> SPRÁVY A NÁRODNOSTNÝCH MENŠÍN –</w:t>
      </w:r>
      <w:r>
        <w:rPr>
          <w:rFonts w:asciiTheme="minorHAnsi" w:hAnsiTheme="minorHAnsi"/>
          <w:b/>
          <w:sz w:val="20"/>
          <w:szCs w:val="20"/>
        </w:rPr>
        <w:t xml:space="preserve"> NÁRODNOSTNÝCH SPOLOČENSTIEV NA FINANCOVANIE A SPOLUFINACOVANIE OBSTARANIA VYBAVENIA PRE ZÁKLADNÉ ŠKOLY, KTORÉ MAJÚ STATUS VEREJNE UZNÁVANÝCH ORGANIZÁTOROV AKTIVÍT FORMÁLNEHO ZÁKLADNÉHO VZDELÁVANIA DOSPELÝCH NA ÚZEMÍ AUTONÓMNEJ POKRAJINE VOJVODINY V ROKU 2025</w:t>
      </w:r>
    </w:p>
    <w:p w14:paraId="45681E30" w14:textId="77777777" w:rsidR="00DD318F" w:rsidRPr="00D453AA" w:rsidRDefault="00DD318F" w:rsidP="00DD318F">
      <w:pPr>
        <w:tabs>
          <w:tab w:val="left" w:pos="3420"/>
        </w:tabs>
        <w:ind w:right="-360"/>
        <w:jc w:val="center"/>
        <w:rPr>
          <w:rFonts w:asciiTheme="minorHAnsi" w:hAnsiTheme="minorHAnsi"/>
          <w:color w:val="000000"/>
          <w:sz w:val="20"/>
          <w:szCs w:val="20"/>
          <w:lang w:val="sr-Cyrl-CS"/>
        </w:rPr>
      </w:pPr>
    </w:p>
    <w:p w14:paraId="465AFA0B" w14:textId="77777777" w:rsidR="00DD318F" w:rsidRPr="00D453AA" w:rsidRDefault="00DD318F" w:rsidP="00DD318F">
      <w:pPr>
        <w:jc w:val="center"/>
        <w:rPr>
          <w:rFonts w:asciiTheme="minorHAnsi" w:hAnsiTheme="minorHAnsi"/>
          <w:b/>
          <w:color w:val="000000"/>
          <w:sz w:val="20"/>
          <w:szCs w:val="20"/>
        </w:rPr>
      </w:pPr>
      <w:r>
        <w:rPr>
          <w:rFonts w:asciiTheme="minorHAnsi" w:hAnsiTheme="minorHAnsi"/>
          <w:b/>
          <w:color w:val="000000"/>
          <w:sz w:val="20"/>
          <w:szCs w:val="20"/>
        </w:rPr>
        <w:t>I.</w:t>
      </w:r>
    </w:p>
    <w:p w14:paraId="2B375356" w14:textId="77777777" w:rsidR="00DD318F" w:rsidRPr="00D453AA" w:rsidRDefault="00DD318F" w:rsidP="00DD318F">
      <w:pPr>
        <w:jc w:val="center"/>
        <w:rPr>
          <w:rFonts w:asciiTheme="minorHAnsi" w:hAnsiTheme="minorHAnsi"/>
          <w:b/>
          <w:color w:val="000000"/>
          <w:sz w:val="20"/>
          <w:szCs w:val="20"/>
          <w:lang w:val="ru-RU"/>
        </w:rPr>
      </w:pPr>
    </w:p>
    <w:p w14:paraId="0484CDD5" w14:textId="0974EC0C" w:rsidR="00DD318F" w:rsidRPr="00D453AA" w:rsidRDefault="0034772B" w:rsidP="00162392">
      <w:pPr>
        <w:ind w:right="15" w:firstLine="708"/>
        <w:jc w:val="both"/>
        <w:rPr>
          <w:rFonts w:asciiTheme="minorHAnsi" w:hAnsiTheme="minorHAnsi"/>
          <w:sz w:val="20"/>
          <w:szCs w:val="20"/>
        </w:rPr>
      </w:pPr>
      <w:r>
        <w:rPr>
          <w:rFonts w:asciiTheme="minorHAnsi" w:hAnsiTheme="minorHAnsi"/>
          <w:sz w:val="20"/>
          <w:szCs w:val="20"/>
        </w:rPr>
        <w:t>Týmto rozhodnutím sa určuje rozvrhnutie</w:t>
      </w:r>
      <w:r w:rsidR="00DD318F">
        <w:rPr>
          <w:rFonts w:asciiTheme="minorHAnsi" w:hAnsiTheme="minorHAnsi"/>
          <w:sz w:val="20"/>
          <w:szCs w:val="20"/>
        </w:rPr>
        <w:t xml:space="preserve"> rozpočtových prostriedkov Pokrajinského sekretariátu vzdelávania, predpisov, správy a národnostných menšín – národnostných spoločenstiev podľa Súbehu na financovanie a spolufinacovanie obstarania vybavenia pre základné školy, ktoré majú status verejne uznávaných organizátorov aktivít formálneho základného vzdelávania dospelých na území Autonómnej pokrajiny Vojvodiny na rok 2025 (Úradný vestník APV č. 7/25 – ďalej: súbeh).</w:t>
      </w:r>
    </w:p>
    <w:p w14:paraId="75D911B5" w14:textId="77777777" w:rsidR="00DD318F" w:rsidRPr="00D453AA" w:rsidRDefault="00DD318F" w:rsidP="0008350E">
      <w:pPr>
        <w:tabs>
          <w:tab w:val="left" w:pos="3600"/>
          <w:tab w:val="left" w:pos="3960"/>
        </w:tabs>
        <w:ind w:right="15"/>
        <w:jc w:val="both"/>
        <w:rPr>
          <w:rFonts w:asciiTheme="minorHAnsi" w:hAnsiTheme="minorHAnsi"/>
          <w:i/>
          <w:color w:val="000000"/>
          <w:sz w:val="20"/>
          <w:szCs w:val="20"/>
          <w:lang w:val="ru-RU"/>
        </w:rPr>
      </w:pPr>
    </w:p>
    <w:p w14:paraId="238948D6" w14:textId="77777777" w:rsidR="00DD318F" w:rsidRPr="00D453AA" w:rsidRDefault="00DD318F" w:rsidP="0008350E">
      <w:pPr>
        <w:ind w:right="15"/>
        <w:jc w:val="center"/>
        <w:rPr>
          <w:rFonts w:asciiTheme="minorHAnsi" w:hAnsiTheme="minorHAnsi"/>
          <w:b/>
          <w:color w:val="000000"/>
          <w:sz w:val="20"/>
          <w:szCs w:val="20"/>
        </w:rPr>
      </w:pPr>
      <w:r>
        <w:rPr>
          <w:rFonts w:asciiTheme="minorHAnsi" w:hAnsiTheme="minorHAnsi"/>
          <w:b/>
          <w:color w:val="000000"/>
          <w:sz w:val="20"/>
          <w:szCs w:val="20"/>
        </w:rPr>
        <w:t>II.</w:t>
      </w:r>
    </w:p>
    <w:p w14:paraId="64BC0BC9" w14:textId="77777777" w:rsidR="00DD318F" w:rsidRPr="00D453AA" w:rsidRDefault="00DD318F" w:rsidP="0008350E">
      <w:pPr>
        <w:ind w:right="15"/>
        <w:jc w:val="center"/>
        <w:rPr>
          <w:rFonts w:asciiTheme="minorHAnsi" w:hAnsiTheme="minorHAnsi"/>
          <w:b/>
          <w:color w:val="000000"/>
          <w:sz w:val="20"/>
          <w:szCs w:val="20"/>
          <w:lang w:val="ru-RU"/>
        </w:rPr>
      </w:pPr>
    </w:p>
    <w:p w14:paraId="1D1D1A41" w14:textId="65904DAB" w:rsidR="00DD318F" w:rsidRPr="00D453AA" w:rsidRDefault="00DD318F" w:rsidP="0008350E">
      <w:pPr>
        <w:ind w:right="15" w:firstLine="708"/>
        <w:jc w:val="both"/>
        <w:rPr>
          <w:rFonts w:asciiTheme="minorHAnsi" w:hAnsiTheme="minorHAnsi"/>
          <w:b/>
          <w:color w:val="000000"/>
          <w:sz w:val="20"/>
          <w:szCs w:val="20"/>
        </w:rPr>
      </w:pPr>
      <w:r>
        <w:rPr>
          <w:rFonts w:asciiTheme="minorHAnsi" w:hAnsiTheme="minorHAnsi"/>
          <w:sz w:val="20"/>
          <w:szCs w:val="20"/>
        </w:rPr>
        <w:t xml:space="preserve">Súbehom je </w:t>
      </w:r>
      <w:r>
        <w:rPr>
          <w:rFonts w:asciiTheme="minorHAnsi" w:hAnsiTheme="minorHAnsi"/>
          <w:b/>
          <w:bCs/>
          <w:sz w:val="20"/>
          <w:szCs w:val="20"/>
        </w:rPr>
        <w:t>zabezpečených 2 000 000,00 dinárov</w:t>
      </w:r>
      <w:r>
        <w:rPr>
          <w:rFonts w:asciiTheme="minorHAnsi" w:hAnsiTheme="minorHAnsi"/>
          <w:sz w:val="20"/>
          <w:szCs w:val="20"/>
        </w:rPr>
        <w:t xml:space="preserve"> na účel z bodu I. tohto rozhodnutia. </w:t>
      </w:r>
    </w:p>
    <w:p w14:paraId="0084E93D" w14:textId="0EA11FE6" w:rsidR="00BA171C" w:rsidRPr="00D453AA" w:rsidRDefault="00DD318F" w:rsidP="00B20F70">
      <w:pPr>
        <w:ind w:right="15" w:firstLine="708"/>
        <w:jc w:val="both"/>
        <w:rPr>
          <w:rFonts w:asciiTheme="minorHAnsi" w:hAnsiTheme="minorHAnsi"/>
          <w:sz w:val="20"/>
          <w:szCs w:val="20"/>
        </w:rPr>
      </w:pPr>
      <w:r>
        <w:rPr>
          <w:rFonts w:asciiTheme="minorHAnsi" w:hAnsiTheme="minorHAnsi"/>
          <w:sz w:val="20"/>
          <w:szCs w:val="20"/>
        </w:rPr>
        <w:t>Prostriedky sú schválené základným školám, ktorých zriaďovateľ</w:t>
      </w:r>
      <w:r w:rsidR="0034772B">
        <w:rPr>
          <w:rFonts w:asciiTheme="minorHAnsi" w:hAnsiTheme="minorHAnsi"/>
          <w:sz w:val="20"/>
          <w:szCs w:val="20"/>
        </w:rPr>
        <w:t>kou</w:t>
      </w:r>
      <w:bookmarkStart w:id="0" w:name="_GoBack"/>
      <w:bookmarkEnd w:id="0"/>
      <w:r>
        <w:rPr>
          <w:rFonts w:asciiTheme="minorHAnsi" w:hAnsiTheme="minorHAnsi"/>
          <w:sz w:val="20"/>
          <w:szCs w:val="20"/>
        </w:rPr>
        <w:t xml:space="preserve"> je Srbská republika, AP Vojvodina a lokálne samosprávy a ktoré majú postavenie verejne uznávaných organizátorov aktivít formálneho základného vzdelávania dospelých na území AP Vojvodiny (ďalej len: používatelia) na účely a v sumách uvedených v nasledujúcej tabuľke:</w:t>
      </w:r>
    </w:p>
    <w:p w14:paraId="05F4706D" w14:textId="7A3C2BBB" w:rsidR="005B240F" w:rsidRDefault="00BA171C" w:rsidP="00DD318F">
      <w:pPr>
        <w:spacing w:after="200" w:line="276" w:lineRule="auto"/>
        <w:rPr>
          <w:rFonts w:asciiTheme="minorHAnsi" w:hAnsiTheme="minorHAnsi"/>
          <w:sz w:val="20"/>
          <w:szCs w:val="20"/>
        </w:rPr>
      </w:pPr>
      <w:r>
        <w:br w:type="page"/>
      </w:r>
    </w:p>
    <w:tbl>
      <w:tblPr>
        <w:tblStyle w:val="TableGrid"/>
        <w:tblW w:w="9216" w:type="dxa"/>
        <w:jc w:val="center"/>
        <w:tblLook w:val="04A0" w:firstRow="1" w:lastRow="0" w:firstColumn="1" w:lastColumn="0" w:noHBand="0" w:noVBand="1"/>
      </w:tblPr>
      <w:tblGrid>
        <w:gridCol w:w="2882"/>
        <w:gridCol w:w="2214"/>
        <w:gridCol w:w="1683"/>
        <w:gridCol w:w="2437"/>
      </w:tblGrid>
      <w:tr w:rsidR="005F69BB" w:rsidRPr="006D42E7" w14:paraId="216EAAEA" w14:textId="77777777" w:rsidTr="009B17D6">
        <w:trPr>
          <w:trHeight w:val="583"/>
          <w:jc w:val="center"/>
        </w:trPr>
        <w:tc>
          <w:tcPr>
            <w:tcW w:w="2882" w:type="dxa"/>
            <w:vAlign w:val="center"/>
          </w:tcPr>
          <w:p w14:paraId="7A38F6AB" w14:textId="77777777" w:rsidR="005F69BB" w:rsidRPr="006D42E7" w:rsidRDefault="005F69BB" w:rsidP="009B17D6">
            <w:pPr>
              <w:rPr>
                <w:b/>
                <w:sz w:val="20"/>
                <w:szCs w:val="20"/>
              </w:rPr>
            </w:pPr>
            <w:r>
              <w:rPr>
                <w:b/>
                <w:sz w:val="20"/>
                <w:szCs w:val="20"/>
              </w:rPr>
              <w:lastRenderedPageBreak/>
              <w:t>NÁZOV ŠKOLY</w:t>
            </w:r>
          </w:p>
        </w:tc>
        <w:tc>
          <w:tcPr>
            <w:tcW w:w="2214" w:type="dxa"/>
            <w:noWrap/>
            <w:vAlign w:val="center"/>
          </w:tcPr>
          <w:p w14:paraId="765BFBFF" w14:textId="77777777" w:rsidR="005F69BB" w:rsidRPr="006D42E7" w:rsidRDefault="005F69BB" w:rsidP="009B17D6">
            <w:pPr>
              <w:jc w:val="center"/>
              <w:rPr>
                <w:b/>
                <w:color w:val="000000"/>
                <w:sz w:val="20"/>
                <w:szCs w:val="20"/>
              </w:rPr>
            </w:pPr>
            <w:r>
              <w:rPr>
                <w:b/>
                <w:color w:val="000000"/>
                <w:sz w:val="20"/>
                <w:szCs w:val="20"/>
              </w:rPr>
              <w:t>MIESTO</w:t>
            </w:r>
          </w:p>
        </w:tc>
        <w:tc>
          <w:tcPr>
            <w:tcW w:w="1662" w:type="dxa"/>
            <w:vAlign w:val="center"/>
          </w:tcPr>
          <w:p w14:paraId="41DF6BD5" w14:textId="77777777" w:rsidR="005F69BB" w:rsidRPr="006D42E7" w:rsidRDefault="005F69BB" w:rsidP="009B17D6">
            <w:pPr>
              <w:jc w:val="center"/>
              <w:rPr>
                <w:b/>
                <w:sz w:val="20"/>
                <w:szCs w:val="20"/>
              </w:rPr>
            </w:pPr>
            <w:r>
              <w:rPr>
                <w:b/>
                <w:sz w:val="20"/>
                <w:szCs w:val="20"/>
              </w:rPr>
              <w:t>PRIDELENÉ PROSTRIEDKY</w:t>
            </w:r>
          </w:p>
        </w:tc>
        <w:tc>
          <w:tcPr>
            <w:tcW w:w="2458" w:type="dxa"/>
          </w:tcPr>
          <w:p w14:paraId="3338B082" w14:textId="77777777" w:rsidR="005F69BB" w:rsidRPr="006D42E7" w:rsidRDefault="005F69BB" w:rsidP="009B17D6">
            <w:pPr>
              <w:rPr>
                <w:b/>
                <w:sz w:val="20"/>
                <w:szCs w:val="20"/>
                <w:lang w:val="sr-Cyrl-RS"/>
              </w:rPr>
            </w:pPr>
          </w:p>
          <w:p w14:paraId="20D834CF" w14:textId="77777777" w:rsidR="005F69BB" w:rsidRPr="006D42E7" w:rsidRDefault="005F69BB" w:rsidP="009B17D6">
            <w:pPr>
              <w:jc w:val="center"/>
              <w:rPr>
                <w:b/>
                <w:sz w:val="20"/>
                <w:szCs w:val="20"/>
              </w:rPr>
            </w:pPr>
            <w:r>
              <w:rPr>
                <w:b/>
                <w:sz w:val="20"/>
                <w:szCs w:val="20"/>
              </w:rPr>
              <w:t>ÚČEL</w:t>
            </w:r>
          </w:p>
        </w:tc>
      </w:tr>
      <w:tr w:rsidR="005F69BB" w:rsidRPr="006D42E7" w14:paraId="6A34827C" w14:textId="77777777" w:rsidTr="009B17D6">
        <w:trPr>
          <w:trHeight w:val="442"/>
          <w:jc w:val="center"/>
        </w:trPr>
        <w:tc>
          <w:tcPr>
            <w:tcW w:w="2882" w:type="dxa"/>
            <w:hideMark/>
          </w:tcPr>
          <w:p w14:paraId="2D9F91F3" w14:textId="7C54CA57" w:rsidR="005F69BB" w:rsidRPr="006D42E7" w:rsidRDefault="005F69BB" w:rsidP="0034772B">
            <w:pPr>
              <w:rPr>
                <w:sz w:val="20"/>
                <w:szCs w:val="20"/>
              </w:rPr>
            </w:pPr>
            <w:r>
              <w:rPr>
                <w:sz w:val="20"/>
                <w:szCs w:val="20"/>
              </w:rPr>
              <w:t>ZŠ Petöfi Sándora</w:t>
            </w:r>
          </w:p>
        </w:tc>
        <w:tc>
          <w:tcPr>
            <w:tcW w:w="2214" w:type="dxa"/>
            <w:noWrap/>
            <w:hideMark/>
          </w:tcPr>
          <w:p w14:paraId="5DAEE0EE" w14:textId="77777777" w:rsidR="005F69BB" w:rsidRPr="006D42E7" w:rsidRDefault="005F69BB" w:rsidP="009B17D6">
            <w:pPr>
              <w:jc w:val="center"/>
              <w:rPr>
                <w:sz w:val="20"/>
                <w:szCs w:val="20"/>
              </w:rPr>
            </w:pPr>
            <w:r>
              <w:rPr>
                <w:sz w:val="20"/>
                <w:szCs w:val="20"/>
              </w:rPr>
              <w:t>Senta</w:t>
            </w:r>
          </w:p>
        </w:tc>
        <w:tc>
          <w:tcPr>
            <w:tcW w:w="1662" w:type="dxa"/>
            <w:hideMark/>
          </w:tcPr>
          <w:p w14:paraId="18F7F982" w14:textId="77777777" w:rsidR="005F69BB" w:rsidRPr="006D42E7" w:rsidRDefault="005F69BB" w:rsidP="009B17D6">
            <w:pPr>
              <w:jc w:val="right"/>
              <w:rPr>
                <w:sz w:val="20"/>
                <w:szCs w:val="20"/>
              </w:rPr>
            </w:pPr>
            <w:r>
              <w:rPr>
                <w:sz w:val="20"/>
                <w:szCs w:val="20"/>
              </w:rPr>
              <w:t>118 000,00</w:t>
            </w:r>
          </w:p>
        </w:tc>
        <w:tc>
          <w:tcPr>
            <w:tcW w:w="2458" w:type="dxa"/>
          </w:tcPr>
          <w:p w14:paraId="7C2BAB0B" w14:textId="77777777" w:rsidR="005F69BB" w:rsidRPr="006D42E7" w:rsidRDefault="005F69BB" w:rsidP="009B17D6">
            <w:pPr>
              <w:jc w:val="both"/>
              <w:rPr>
                <w:sz w:val="20"/>
                <w:szCs w:val="20"/>
              </w:rPr>
            </w:pPr>
            <w:r>
              <w:rPr>
                <w:sz w:val="20"/>
                <w:szCs w:val="20"/>
              </w:rPr>
              <w:t>Biela magnetická tabuľa</w:t>
            </w:r>
          </w:p>
          <w:p w14:paraId="324DB564" w14:textId="77777777" w:rsidR="005F69BB" w:rsidRPr="006D42E7" w:rsidRDefault="005F69BB" w:rsidP="009B17D6">
            <w:pPr>
              <w:jc w:val="both"/>
              <w:rPr>
                <w:sz w:val="20"/>
                <w:szCs w:val="20"/>
              </w:rPr>
            </w:pPr>
            <w:r>
              <w:rPr>
                <w:sz w:val="20"/>
                <w:szCs w:val="20"/>
              </w:rPr>
              <w:t xml:space="preserve">Filament </w:t>
            </w:r>
          </w:p>
        </w:tc>
      </w:tr>
      <w:tr w:rsidR="005F69BB" w:rsidRPr="006D42E7" w14:paraId="640CE104" w14:textId="77777777" w:rsidTr="009B17D6">
        <w:trPr>
          <w:trHeight w:val="442"/>
          <w:jc w:val="center"/>
        </w:trPr>
        <w:tc>
          <w:tcPr>
            <w:tcW w:w="2882" w:type="dxa"/>
          </w:tcPr>
          <w:p w14:paraId="48E4D2D0" w14:textId="641D7F3B" w:rsidR="005F69BB" w:rsidRPr="006D42E7" w:rsidRDefault="005F69BB" w:rsidP="000E6951">
            <w:pPr>
              <w:rPr>
                <w:sz w:val="20"/>
                <w:szCs w:val="20"/>
              </w:rPr>
            </w:pPr>
            <w:r>
              <w:rPr>
                <w:sz w:val="20"/>
                <w:szCs w:val="20"/>
              </w:rPr>
              <w:t>ZŠ Jovana Jovanovića Zmaja</w:t>
            </w:r>
          </w:p>
        </w:tc>
        <w:tc>
          <w:tcPr>
            <w:tcW w:w="2214" w:type="dxa"/>
            <w:noWrap/>
          </w:tcPr>
          <w:p w14:paraId="0D784F8E" w14:textId="77777777" w:rsidR="005F69BB" w:rsidRPr="006D42E7" w:rsidRDefault="005F69BB" w:rsidP="009B17D6">
            <w:pPr>
              <w:jc w:val="center"/>
              <w:rPr>
                <w:sz w:val="20"/>
                <w:szCs w:val="20"/>
              </w:rPr>
            </w:pPr>
            <w:r>
              <w:rPr>
                <w:sz w:val="20"/>
                <w:szCs w:val="20"/>
              </w:rPr>
              <w:t>Hajdušica</w:t>
            </w:r>
          </w:p>
        </w:tc>
        <w:tc>
          <w:tcPr>
            <w:tcW w:w="1662" w:type="dxa"/>
          </w:tcPr>
          <w:p w14:paraId="5B90B3D4" w14:textId="77777777" w:rsidR="005F69BB" w:rsidRPr="006D42E7" w:rsidRDefault="005F69BB" w:rsidP="009B17D6">
            <w:pPr>
              <w:jc w:val="right"/>
              <w:rPr>
                <w:sz w:val="20"/>
                <w:szCs w:val="20"/>
              </w:rPr>
            </w:pPr>
            <w:r>
              <w:rPr>
                <w:sz w:val="20"/>
                <w:szCs w:val="20"/>
              </w:rPr>
              <w:t>120 000,00</w:t>
            </w:r>
          </w:p>
        </w:tc>
        <w:tc>
          <w:tcPr>
            <w:tcW w:w="2458" w:type="dxa"/>
          </w:tcPr>
          <w:p w14:paraId="594FC386" w14:textId="77777777" w:rsidR="005F69BB" w:rsidRPr="006D42E7" w:rsidRDefault="005F69BB" w:rsidP="009B17D6">
            <w:pPr>
              <w:jc w:val="both"/>
              <w:rPr>
                <w:sz w:val="20"/>
                <w:szCs w:val="20"/>
              </w:rPr>
            </w:pPr>
            <w:r>
              <w:rPr>
                <w:sz w:val="20"/>
                <w:szCs w:val="20"/>
              </w:rPr>
              <w:t>Stolové počítače</w:t>
            </w:r>
          </w:p>
        </w:tc>
      </w:tr>
      <w:tr w:rsidR="005F69BB" w:rsidRPr="006D42E7" w14:paraId="5E66DAEB" w14:textId="77777777" w:rsidTr="009B17D6">
        <w:trPr>
          <w:trHeight w:val="445"/>
          <w:jc w:val="center"/>
        </w:trPr>
        <w:tc>
          <w:tcPr>
            <w:tcW w:w="2882" w:type="dxa"/>
            <w:noWrap/>
          </w:tcPr>
          <w:p w14:paraId="5D214186" w14:textId="77777777" w:rsidR="005F69BB" w:rsidRPr="005D5471" w:rsidRDefault="005F69BB" w:rsidP="009B17D6">
            <w:pPr>
              <w:rPr>
                <w:sz w:val="20"/>
                <w:szCs w:val="20"/>
              </w:rPr>
            </w:pPr>
            <w:r>
              <w:rPr>
                <w:sz w:val="20"/>
                <w:szCs w:val="20"/>
              </w:rPr>
              <w:t>ŠZVD</w:t>
            </w:r>
          </w:p>
        </w:tc>
        <w:tc>
          <w:tcPr>
            <w:tcW w:w="2214" w:type="dxa"/>
            <w:noWrap/>
          </w:tcPr>
          <w:p w14:paraId="5FDBA12C" w14:textId="77777777" w:rsidR="005F69BB" w:rsidRPr="006D42E7" w:rsidRDefault="005F69BB" w:rsidP="009B17D6">
            <w:pPr>
              <w:jc w:val="center"/>
              <w:rPr>
                <w:sz w:val="20"/>
                <w:szCs w:val="20"/>
              </w:rPr>
            </w:pPr>
            <w:r>
              <w:rPr>
                <w:sz w:val="20"/>
                <w:szCs w:val="20"/>
              </w:rPr>
              <w:t>Sombor</w:t>
            </w:r>
          </w:p>
        </w:tc>
        <w:tc>
          <w:tcPr>
            <w:tcW w:w="1662" w:type="dxa"/>
            <w:noWrap/>
          </w:tcPr>
          <w:p w14:paraId="07C2F99E" w14:textId="77777777" w:rsidR="005F69BB" w:rsidRPr="006D42E7" w:rsidRDefault="005F69BB" w:rsidP="009B17D6">
            <w:pPr>
              <w:jc w:val="right"/>
              <w:rPr>
                <w:sz w:val="20"/>
                <w:szCs w:val="20"/>
              </w:rPr>
            </w:pPr>
            <w:r>
              <w:rPr>
                <w:sz w:val="20"/>
                <w:szCs w:val="20"/>
              </w:rPr>
              <w:t>190 000,00</w:t>
            </w:r>
          </w:p>
        </w:tc>
        <w:tc>
          <w:tcPr>
            <w:tcW w:w="2458" w:type="dxa"/>
          </w:tcPr>
          <w:p w14:paraId="5DEED3B3" w14:textId="77777777" w:rsidR="005F69BB" w:rsidRPr="006D42E7" w:rsidRDefault="005F69BB" w:rsidP="009B17D6">
            <w:pPr>
              <w:rPr>
                <w:sz w:val="20"/>
                <w:szCs w:val="20"/>
              </w:rPr>
            </w:pPr>
            <w:r>
              <w:rPr>
                <w:sz w:val="20"/>
                <w:szCs w:val="20"/>
              </w:rPr>
              <w:t xml:space="preserve">ASUS X1504 ZA-NJ865 i3 1215 u, 8GB 512 GB a </w:t>
            </w:r>
          </w:p>
          <w:p w14:paraId="2E3C67CC" w14:textId="77777777" w:rsidR="005F69BB" w:rsidRPr="006D42E7" w:rsidRDefault="005F69BB" w:rsidP="009B17D6">
            <w:pPr>
              <w:rPr>
                <w:sz w:val="20"/>
                <w:szCs w:val="20"/>
              </w:rPr>
            </w:pPr>
            <w:r>
              <w:rPr>
                <w:sz w:val="20"/>
                <w:szCs w:val="20"/>
              </w:rPr>
              <w:t>Projektor KT-200P mini XD LED 4 kusy.</w:t>
            </w:r>
          </w:p>
        </w:tc>
      </w:tr>
      <w:tr w:rsidR="005F69BB" w:rsidRPr="006D42E7" w14:paraId="59B1D349" w14:textId="77777777" w:rsidTr="009B17D6">
        <w:trPr>
          <w:trHeight w:val="600"/>
          <w:jc w:val="center"/>
        </w:trPr>
        <w:tc>
          <w:tcPr>
            <w:tcW w:w="2882" w:type="dxa"/>
            <w:noWrap/>
            <w:hideMark/>
          </w:tcPr>
          <w:p w14:paraId="2AE95319" w14:textId="77777777" w:rsidR="005F69BB" w:rsidRPr="006D42E7" w:rsidRDefault="005F69BB" w:rsidP="009B17D6">
            <w:pPr>
              <w:rPr>
                <w:sz w:val="20"/>
                <w:szCs w:val="20"/>
              </w:rPr>
            </w:pPr>
            <w:r>
              <w:rPr>
                <w:sz w:val="20"/>
                <w:szCs w:val="20"/>
              </w:rPr>
              <w:t xml:space="preserve">ZŠ Istvána tömörkényho </w:t>
            </w:r>
          </w:p>
        </w:tc>
        <w:tc>
          <w:tcPr>
            <w:tcW w:w="2214" w:type="dxa"/>
            <w:noWrap/>
            <w:hideMark/>
          </w:tcPr>
          <w:p w14:paraId="5425A4DF" w14:textId="77777777" w:rsidR="005F69BB" w:rsidRPr="006D42E7" w:rsidRDefault="005F69BB" w:rsidP="009B17D6">
            <w:pPr>
              <w:jc w:val="center"/>
              <w:rPr>
                <w:sz w:val="20"/>
                <w:szCs w:val="20"/>
              </w:rPr>
            </w:pPr>
            <w:r>
              <w:rPr>
                <w:sz w:val="20"/>
                <w:szCs w:val="20"/>
              </w:rPr>
              <w:t>Tornjoš</w:t>
            </w:r>
          </w:p>
        </w:tc>
        <w:tc>
          <w:tcPr>
            <w:tcW w:w="1662" w:type="dxa"/>
            <w:noWrap/>
            <w:hideMark/>
          </w:tcPr>
          <w:p w14:paraId="4332E118" w14:textId="77777777" w:rsidR="005F69BB" w:rsidRPr="006D42E7" w:rsidRDefault="005F69BB" w:rsidP="009B17D6">
            <w:pPr>
              <w:jc w:val="right"/>
              <w:rPr>
                <w:sz w:val="20"/>
                <w:szCs w:val="20"/>
              </w:rPr>
            </w:pPr>
            <w:r>
              <w:rPr>
                <w:sz w:val="20"/>
                <w:szCs w:val="20"/>
              </w:rPr>
              <w:t>210 000,00</w:t>
            </w:r>
          </w:p>
        </w:tc>
        <w:tc>
          <w:tcPr>
            <w:tcW w:w="2458" w:type="dxa"/>
          </w:tcPr>
          <w:p w14:paraId="11F226A5" w14:textId="77777777" w:rsidR="005F69BB" w:rsidRPr="006D42E7" w:rsidRDefault="005F69BB" w:rsidP="009B17D6">
            <w:pPr>
              <w:rPr>
                <w:color w:val="000000"/>
                <w:sz w:val="20"/>
                <w:szCs w:val="20"/>
              </w:rPr>
            </w:pPr>
            <w:r>
              <w:rPr>
                <w:color w:val="000000"/>
                <w:sz w:val="20"/>
                <w:szCs w:val="20"/>
              </w:rPr>
              <w:t>Biela magnetická tabuľa vision 240x120,</w:t>
            </w:r>
          </w:p>
          <w:p w14:paraId="11C14204" w14:textId="77777777" w:rsidR="005F69BB" w:rsidRPr="006D42E7" w:rsidRDefault="005F69BB" w:rsidP="009B17D6">
            <w:pPr>
              <w:rPr>
                <w:color w:val="000000"/>
                <w:sz w:val="20"/>
                <w:szCs w:val="20"/>
              </w:rPr>
            </w:pPr>
            <w:r>
              <w:rPr>
                <w:color w:val="000000"/>
                <w:sz w:val="20"/>
                <w:szCs w:val="20"/>
              </w:rPr>
              <w:t xml:space="preserve">Biela magnetická tabuľa vision 120x90, </w:t>
            </w:r>
          </w:p>
          <w:p w14:paraId="3E0E3E2A" w14:textId="77777777" w:rsidR="005F69BB" w:rsidRPr="006D42E7" w:rsidRDefault="005F69BB" w:rsidP="009B17D6">
            <w:pPr>
              <w:rPr>
                <w:color w:val="000000"/>
                <w:sz w:val="20"/>
                <w:szCs w:val="20"/>
              </w:rPr>
            </w:pPr>
            <w:r>
              <w:rPr>
                <w:color w:val="000000"/>
                <w:sz w:val="20"/>
                <w:szCs w:val="20"/>
              </w:rPr>
              <w:t xml:space="preserve">Školská stolička st2, Školská lavica sk1, Uhlomer šk na tabuľu, </w:t>
            </w:r>
          </w:p>
          <w:p w14:paraId="43739944" w14:textId="77777777" w:rsidR="005F69BB" w:rsidRPr="006D42E7" w:rsidRDefault="005F69BB" w:rsidP="009B17D6">
            <w:pPr>
              <w:rPr>
                <w:color w:val="000000"/>
                <w:sz w:val="20"/>
                <w:szCs w:val="20"/>
              </w:rPr>
            </w:pPr>
            <w:r>
              <w:rPr>
                <w:color w:val="000000"/>
                <w:sz w:val="20"/>
                <w:szCs w:val="20"/>
              </w:rPr>
              <w:t xml:space="preserve">Kružidlo školské magnetické, </w:t>
            </w:r>
          </w:p>
          <w:p w14:paraId="44CB8E89" w14:textId="77777777" w:rsidR="005F69BB" w:rsidRPr="006D42E7" w:rsidRDefault="005F69BB" w:rsidP="009B17D6">
            <w:pPr>
              <w:rPr>
                <w:color w:val="000000"/>
                <w:sz w:val="20"/>
                <w:szCs w:val="20"/>
              </w:rPr>
            </w:pPr>
            <w:r>
              <w:rPr>
                <w:color w:val="000000"/>
                <w:sz w:val="20"/>
                <w:szCs w:val="20"/>
              </w:rPr>
              <w:t xml:space="preserve">Pravítko 100 cm na tabuľu, </w:t>
            </w:r>
          </w:p>
          <w:p w14:paraId="25C38AD5" w14:textId="3BBD316A" w:rsidR="005F69BB" w:rsidRPr="006D42E7" w:rsidRDefault="005F69BB" w:rsidP="000E6951">
            <w:pPr>
              <w:rPr>
                <w:sz w:val="20"/>
                <w:szCs w:val="20"/>
              </w:rPr>
            </w:pPr>
            <w:r>
              <w:rPr>
                <w:color w:val="000000"/>
                <w:sz w:val="20"/>
                <w:szCs w:val="20"/>
              </w:rPr>
              <w:t xml:space="preserve">Magnét 9795/10, </w:t>
            </w:r>
          </w:p>
        </w:tc>
      </w:tr>
      <w:tr w:rsidR="005F69BB" w:rsidRPr="006D42E7" w14:paraId="32AA9EBC" w14:textId="77777777" w:rsidTr="009B17D6">
        <w:trPr>
          <w:trHeight w:val="600"/>
          <w:jc w:val="center"/>
        </w:trPr>
        <w:tc>
          <w:tcPr>
            <w:tcW w:w="2882" w:type="dxa"/>
            <w:noWrap/>
            <w:hideMark/>
          </w:tcPr>
          <w:p w14:paraId="1603836B" w14:textId="3E886900" w:rsidR="005F69BB" w:rsidRPr="006D42E7" w:rsidRDefault="005F69BB" w:rsidP="009B17D6">
            <w:pPr>
              <w:rPr>
                <w:sz w:val="20"/>
                <w:szCs w:val="20"/>
              </w:rPr>
            </w:pPr>
            <w:r>
              <w:rPr>
                <w:sz w:val="20"/>
                <w:szCs w:val="20"/>
              </w:rPr>
              <w:t>ZŠ Miletu Protića</w:t>
            </w:r>
          </w:p>
        </w:tc>
        <w:tc>
          <w:tcPr>
            <w:tcW w:w="2214" w:type="dxa"/>
            <w:noWrap/>
            <w:hideMark/>
          </w:tcPr>
          <w:p w14:paraId="1FD568EE" w14:textId="77777777" w:rsidR="005F69BB" w:rsidRPr="006D42E7" w:rsidRDefault="005F69BB" w:rsidP="009B17D6">
            <w:pPr>
              <w:jc w:val="center"/>
              <w:rPr>
                <w:sz w:val="20"/>
                <w:szCs w:val="20"/>
              </w:rPr>
            </w:pPr>
            <w:r>
              <w:rPr>
                <w:sz w:val="20"/>
                <w:szCs w:val="20"/>
              </w:rPr>
              <w:t>Tovariševo</w:t>
            </w:r>
          </w:p>
        </w:tc>
        <w:tc>
          <w:tcPr>
            <w:tcW w:w="1662" w:type="dxa"/>
            <w:noWrap/>
            <w:hideMark/>
          </w:tcPr>
          <w:p w14:paraId="592729C2" w14:textId="77777777" w:rsidR="005F69BB" w:rsidRPr="006D42E7" w:rsidRDefault="005F69BB" w:rsidP="009B17D6">
            <w:pPr>
              <w:jc w:val="right"/>
              <w:rPr>
                <w:sz w:val="20"/>
                <w:szCs w:val="20"/>
              </w:rPr>
            </w:pPr>
            <w:r>
              <w:rPr>
                <w:sz w:val="20"/>
                <w:szCs w:val="20"/>
              </w:rPr>
              <w:t>115 000,00</w:t>
            </w:r>
          </w:p>
        </w:tc>
        <w:tc>
          <w:tcPr>
            <w:tcW w:w="2458" w:type="dxa"/>
          </w:tcPr>
          <w:p w14:paraId="4E79D343" w14:textId="77777777" w:rsidR="005F69BB" w:rsidRPr="006D42E7" w:rsidRDefault="005F69BB" w:rsidP="009B17D6">
            <w:pPr>
              <w:jc w:val="both"/>
              <w:rPr>
                <w:sz w:val="20"/>
                <w:szCs w:val="20"/>
              </w:rPr>
            </w:pPr>
            <w:r>
              <w:rPr>
                <w:sz w:val="20"/>
                <w:szCs w:val="20"/>
              </w:rPr>
              <w:t>Školské lavice a školské stoličky</w:t>
            </w:r>
          </w:p>
        </w:tc>
      </w:tr>
      <w:tr w:rsidR="005F69BB" w:rsidRPr="006D42E7" w14:paraId="1AFACD2D" w14:textId="77777777" w:rsidTr="009B17D6">
        <w:trPr>
          <w:trHeight w:val="600"/>
          <w:jc w:val="center"/>
        </w:trPr>
        <w:tc>
          <w:tcPr>
            <w:tcW w:w="2882" w:type="dxa"/>
            <w:noWrap/>
            <w:hideMark/>
          </w:tcPr>
          <w:p w14:paraId="569873A1" w14:textId="77777777" w:rsidR="005F69BB" w:rsidRPr="006D42E7" w:rsidRDefault="005F69BB" w:rsidP="009B17D6">
            <w:pPr>
              <w:rPr>
                <w:sz w:val="20"/>
                <w:szCs w:val="20"/>
              </w:rPr>
            </w:pPr>
            <w:r>
              <w:rPr>
                <w:sz w:val="20"/>
                <w:szCs w:val="20"/>
              </w:rPr>
              <w:t>ŠZSV Milana Petrovića so žiackym domovom</w:t>
            </w:r>
          </w:p>
        </w:tc>
        <w:tc>
          <w:tcPr>
            <w:tcW w:w="2214" w:type="dxa"/>
            <w:noWrap/>
            <w:hideMark/>
          </w:tcPr>
          <w:p w14:paraId="3198BF75" w14:textId="77777777" w:rsidR="005F69BB" w:rsidRPr="006D42E7" w:rsidRDefault="005F69BB" w:rsidP="009B17D6">
            <w:pPr>
              <w:jc w:val="center"/>
              <w:rPr>
                <w:sz w:val="20"/>
                <w:szCs w:val="20"/>
              </w:rPr>
            </w:pPr>
            <w:r>
              <w:rPr>
                <w:sz w:val="20"/>
                <w:szCs w:val="20"/>
              </w:rPr>
              <w:t>Nový Sad</w:t>
            </w:r>
          </w:p>
        </w:tc>
        <w:tc>
          <w:tcPr>
            <w:tcW w:w="1662" w:type="dxa"/>
            <w:noWrap/>
            <w:hideMark/>
          </w:tcPr>
          <w:p w14:paraId="4BF5A86C" w14:textId="77777777" w:rsidR="005F69BB" w:rsidRPr="006D42E7" w:rsidRDefault="005F69BB" w:rsidP="009B17D6">
            <w:pPr>
              <w:jc w:val="right"/>
              <w:rPr>
                <w:sz w:val="20"/>
                <w:szCs w:val="20"/>
              </w:rPr>
            </w:pPr>
            <w:r>
              <w:rPr>
                <w:sz w:val="20"/>
                <w:szCs w:val="20"/>
              </w:rPr>
              <w:t>80 000,00</w:t>
            </w:r>
          </w:p>
        </w:tc>
        <w:tc>
          <w:tcPr>
            <w:tcW w:w="2458" w:type="dxa"/>
          </w:tcPr>
          <w:p w14:paraId="2A4B0490" w14:textId="77777777" w:rsidR="005F69BB" w:rsidRPr="006D42E7" w:rsidRDefault="005F69BB" w:rsidP="009B17D6">
            <w:pPr>
              <w:jc w:val="both"/>
              <w:rPr>
                <w:sz w:val="20"/>
                <w:szCs w:val="20"/>
              </w:rPr>
            </w:pPr>
            <w:r>
              <w:rPr>
                <w:sz w:val="20"/>
                <w:szCs w:val="20"/>
              </w:rPr>
              <w:t xml:space="preserve">Bambulab P1P PF001-S-EU1 3D, tlačiareň, Azurefilm PLA BLACK Filament 1000g 1,75мм, </w:t>
            </w:r>
          </w:p>
        </w:tc>
      </w:tr>
      <w:tr w:rsidR="005F69BB" w:rsidRPr="006D42E7" w14:paraId="19A682AE" w14:textId="77777777" w:rsidTr="009B17D6">
        <w:trPr>
          <w:trHeight w:val="600"/>
          <w:jc w:val="center"/>
        </w:trPr>
        <w:tc>
          <w:tcPr>
            <w:tcW w:w="2882" w:type="dxa"/>
            <w:hideMark/>
          </w:tcPr>
          <w:p w14:paraId="229DE80E" w14:textId="77777777" w:rsidR="005F69BB" w:rsidRPr="006D42E7" w:rsidRDefault="005F69BB" w:rsidP="009B17D6">
            <w:pPr>
              <w:rPr>
                <w:sz w:val="20"/>
                <w:szCs w:val="20"/>
              </w:rPr>
            </w:pPr>
            <w:r>
              <w:rPr>
                <w:sz w:val="20"/>
                <w:szCs w:val="20"/>
              </w:rPr>
              <w:t>ZŠ 20. októbra</w:t>
            </w:r>
          </w:p>
        </w:tc>
        <w:tc>
          <w:tcPr>
            <w:tcW w:w="2214" w:type="dxa"/>
            <w:noWrap/>
            <w:hideMark/>
          </w:tcPr>
          <w:p w14:paraId="1EDC171D" w14:textId="77777777" w:rsidR="005F69BB" w:rsidRPr="006D42E7" w:rsidRDefault="005F69BB" w:rsidP="009B17D6">
            <w:pPr>
              <w:jc w:val="center"/>
              <w:rPr>
                <w:sz w:val="20"/>
                <w:szCs w:val="20"/>
              </w:rPr>
            </w:pPr>
            <w:r>
              <w:rPr>
                <w:sz w:val="20"/>
                <w:szCs w:val="20"/>
              </w:rPr>
              <w:t>Vrbas</w:t>
            </w:r>
          </w:p>
        </w:tc>
        <w:tc>
          <w:tcPr>
            <w:tcW w:w="1662" w:type="dxa"/>
            <w:noWrap/>
            <w:hideMark/>
          </w:tcPr>
          <w:p w14:paraId="7C6F6595" w14:textId="77777777" w:rsidR="005F69BB" w:rsidRPr="006D42E7" w:rsidRDefault="005F69BB" w:rsidP="009B17D6">
            <w:pPr>
              <w:jc w:val="right"/>
              <w:rPr>
                <w:sz w:val="20"/>
                <w:szCs w:val="20"/>
              </w:rPr>
            </w:pPr>
            <w:r>
              <w:rPr>
                <w:sz w:val="20"/>
                <w:szCs w:val="20"/>
              </w:rPr>
              <w:t>95 000,00</w:t>
            </w:r>
          </w:p>
        </w:tc>
        <w:tc>
          <w:tcPr>
            <w:tcW w:w="2458" w:type="dxa"/>
          </w:tcPr>
          <w:p w14:paraId="035CC963" w14:textId="134E3E6A" w:rsidR="005F69BB" w:rsidRPr="006D42E7" w:rsidRDefault="005F69BB" w:rsidP="000E6951">
            <w:pPr>
              <w:jc w:val="both"/>
              <w:rPr>
                <w:sz w:val="20"/>
                <w:szCs w:val="20"/>
              </w:rPr>
            </w:pPr>
            <w:r>
              <w:rPr>
                <w:color w:val="000000"/>
                <w:sz w:val="20"/>
                <w:szCs w:val="20"/>
              </w:rPr>
              <w:t>Projektor ViewSonic PQA5035</w:t>
            </w:r>
          </w:p>
        </w:tc>
      </w:tr>
      <w:tr w:rsidR="005F69BB" w:rsidRPr="006D42E7" w14:paraId="11CDE909" w14:textId="77777777" w:rsidTr="009B17D6">
        <w:trPr>
          <w:trHeight w:val="900"/>
          <w:jc w:val="center"/>
        </w:trPr>
        <w:tc>
          <w:tcPr>
            <w:tcW w:w="2882" w:type="dxa"/>
          </w:tcPr>
          <w:p w14:paraId="23F00B07" w14:textId="77777777" w:rsidR="005F69BB" w:rsidRPr="006D42E7" w:rsidRDefault="005F69BB" w:rsidP="009B17D6">
            <w:pPr>
              <w:rPr>
                <w:sz w:val="20"/>
                <w:szCs w:val="20"/>
              </w:rPr>
            </w:pPr>
            <w:r>
              <w:rPr>
                <w:sz w:val="20"/>
                <w:szCs w:val="20"/>
              </w:rPr>
              <w:t>ZŠ Jovana Jovanovića Zmaja</w:t>
            </w:r>
          </w:p>
        </w:tc>
        <w:tc>
          <w:tcPr>
            <w:tcW w:w="2214" w:type="dxa"/>
            <w:noWrap/>
          </w:tcPr>
          <w:p w14:paraId="4AE3DFC3" w14:textId="77777777" w:rsidR="005F69BB" w:rsidRPr="006D42E7" w:rsidRDefault="005F69BB" w:rsidP="009B17D6">
            <w:pPr>
              <w:jc w:val="center"/>
              <w:rPr>
                <w:color w:val="000000"/>
                <w:sz w:val="20"/>
                <w:szCs w:val="20"/>
              </w:rPr>
            </w:pPr>
            <w:r>
              <w:rPr>
                <w:color w:val="000000"/>
                <w:sz w:val="20"/>
                <w:szCs w:val="20"/>
              </w:rPr>
              <w:t>Subotica</w:t>
            </w:r>
          </w:p>
        </w:tc>
        <w:tc>
          <w:tcPr>
            <w:tcW w:w="1662" w:type="dxa"/>
            <w:noWrap/>
          </w:tcPr>
          <w:p w14:paraId="230C1BFA" w14:textId="77777777" w:rsidR="005F69BB" w:rsidRPr="006D42E7" w:rsidRDefault="005F69BB" w:rsidP="009B17D6">
            <w:pPr>
              <w:jc w:val="right"/>
              <w:rPr>
                <w:sz w:val="20"/>
                <w:szCs w:val="20"/>
              </w:rPr>
            </w:pPr>
            <w:r>
              <w:rPr>
                <w:sz w:val="20"/>
                <w:szCs w:val="20"/>
              </w:rPr>
              <w:t>140 000,00</w:t>
            </w:r>
          </w:p>
        </w:tc>
        <w:tc>
          <w:tcPr>
            <w:tcW w:w="2458" w:type="dxa"/>
          </w:tcPr>
          <w:p w14:paraId="083FC74F" w14:textId="06700A77" w:rsidR="005F69BB" w:rsidRPr="006D42E7" w:rsidRDefault="005F69BB" w:rsidP="000E6951">
            <w:pPr>
              <w:rPr>
                <w:sz w:val="20"/>
                <w:szCs w:val="20"/>
              </w:rPr>
            </w:pPr>
            <w:r>
              <w:rPr>
                <w:color w:val="000000"/>
                <w:sz w:val="20"/>
                <w:szCs w:val="20"/>
              </w:rPr>
              <w:t>Počítačový systém, monitor, klávesnica a myš</w:t>
            </w:r>
          </w:p>
        </w:tc>
      </w:tr>
      <w:tr w:rsidR="005F69BB" w:rsidRPr="006D42E7" w14:paraId="2AFD5293" w14:textId="77777777" w:rsidTr="009B17D6">
        <w:trPr>
          <w:trHeight w:val="485"/>
          <w:jc w:val="center"/>
        </w:trPr>
        <w:tc>
          <w:tcPr>
            <w:tcW w:w="2882" w:type="dxa"/>
            <w:noWrap/>
            <w:hideMark/>
          </w:tcPr>
          <w:p w14:paraId="2371AEC0" w14:textId="77777777" w:rsidR="005F69BB" w:rsidRPr="006D42E7" w:rsidRDefault="005F69BB" w:rsidP="009B17D6">
            <w:pPr>
              <w:rPr>
                <w:sz w:val="20"/>
                <w:szCs w:val="20"/>
              </w:rPr>
            </w:pPr>
            <w:r>
              <w:rPr>
                <w:sz w:val="20"/>
                <w:szCs w:val="20"/>
              </w:rPr>
              <w:t>ZŠ Đuru Jakšića</w:t>
            </w:r>
          </w:p>
        </w:tc>
        <w:tc>
          <w:tcPr>
            <w:tcW w:w="2214" w:type="dxa"/>
            <w:noWrap/>
            <w:hideMark/>
          </w:tcPr>
          <w:p w14:paraId="5B49C33B" w14:textId="77777777" w:rsidR="005F69BB" w:rsidRPr="006D42E7" w:rsidRDefault="005F69BB" w:rsidP="009B17D6">
            <w:pPr>
              <w:jc w:val="center"/>
              <w:rPr>
                <w:sz w:val="20"/>
                <w:szCs w:val="20"/>
              </w:rPr>
            </w:pPr>
            <w:r>
              <w:rPr>
                <w:sz w:val="20"/>
                <w:szCs w:val="20"/>
              </w:rPr>
              <w:t>Pančevo</w:t>
            </w:r>
          </w:p>
        </w:tc>
        <w:tc>
          <w:tcPr>
            <w:tcW w:w="1662" w:type="dxa"/>
            <w:noWrap/>
            <w:hideMark/>
          </w:tcPr>
          <w:p w14:paraId="37D39337" w14:textId="77777777" w:rsidR="005F69BB" w:rsidRPr="006D42E7" w:rsidRDefault="005F69BB" w:rsidP="009B17D6">
            <w:pPr>
              <w:jc w:val="right"/>
              <w:rPr>
                <w:sz w:val="20"/>
                <w:szCs w:val="20"/>
              </w:rPr>
            </w:pPr>
            <w:r>
              <w:rPr>
                <w:sz w:val="20"/>
                <w:szCs w:val="20"/>
              </w:rPr>
              <w:t>100 000,00</w:t>
            </w:r>
          </w:p>
        </w:tc>
        <w:tc>
          <w:tcPr>
            <w:tcW w:w="2458" w:type="dxa"/>
          </w:tcPr>
          <w:p w14:paraId="4AC36438" w14:textId="77777777" w:rsidR="005F69BB" w:rsidRPr="006D42E7" w:rsidRDefault="005F69BB" w:rsidP="009B17D6">
            <w:pPr>
              <w:rPr>
                <w:sz w:val="20"/>
                <w:szCs w:val="20"/>
              </w:rPr>
            </w:pPr>
            <w:r>
              <w:rPr>
                <w:sz w:val="20"/>
                <w:szCs w:val="20"/>
              </w:rPr>
              <w:t xml:space="preserve">Projektor HD 1080p, držiak na projekt, HDMI kábel 15 m, napájací kábel 15 m, funkčný, </w:t>
            </w:r>
          </w:p>
          <w:p w14:paraId="44E89DDF" w14:textId="77777777" w:rsidR="005F69BB" w:rsidRPr="006D42E7" w:rsidRDefault="005F69BB" w:rsidP="009B17D6">
            <w:pPr>
              <w:rPr>
                <w:sz w:val="20"/>
                <w:szCs w:val="20"/>
              </w:rPr>
            </w:pPr>
            <w:r>
              <w:rPr>
                <w:sz w:val="20"/>
                <w:szCs w:val="20"/>
              </w:rPr>
              <w:t>Predlžovací kábel, učebný materiál (fixy, tonerový papier, priečinky...) a Biela tabuľa 120x240 cm.</w:t>
            </w:r>
          </w:p>
        </w:tc>
      </w:tr>
      <w:tr w:rsidR="005F69BB" w:rsidRPr="006D42E7" w14:paraId="5B996471" w14:textId="77777777" w:rsidTr="009B17D6">
        <w:trPr>
          <w:trHeight w:val="600"/>
          <w:jc w:val="center"/>
        </w:trPr>
        <w:tc>
          <w:tcPr>
            <w:tcW w:w="2882" w:type="dxa"/>
            <w:noWrap/>
          </w:tcPr>
          <w:p w14:paraId="53558DB8" w14:textId="77777777" w:rsidR="005F69BB" w:rsidRPr="006D42E7" w:rsidRDefault="005F69BB" w:rsidP="009B17D6">
            <w:pPr>
              <w:rPr>
                <w:color w:val="000000"/>
                <w:sz w:val="20"/>
                <w:szCs w:val="20"/>
              </w:rPr>
            </w:pPr>
            <w:r>
              <w:rPr>
                <w:color w:val="000000"/>
                <w:sz w:val="20"/>
                <w:szCs w:val="20"/>
              </w:rPr>
              <w:t>ŠZVD Svätého Sávu</w:t>
            </w:r>
          </w:p>
          <w:p w14:paraId="142AAE27" w14:textId="77777777" w:rsidR="005F69BB" w:rsidRPr="006D42E7" w:rsidRDefault="005F69BB" w:rsidP="009B17D6">
            <w:pPr>
              <w:rPr>
                <w:sz w:val="20"/>
                <w:szCs w:val="20"/>
              </w:rPr>
            </w:pPr>
          </w:p>
        </w:tc>
        <w:tc>
          <w:tcPr>
            <w:tcW w:w="2214" w:type="dxa"/>
            <w:noWrap/>
          </w:tcPr>
          <w:p w14:paraId="4467CDA2" w14:textId="77777777" w:rsidR="005F69BB" w:rsidRPr="006D42E7" w:rsidRDefault="005F69BB" w:rsidP="009B17D6">
            <w:pPr>
              <w:jc w:val="center"/>
              <w:rPr>
                <w:sz w:val="20"/>
                <w:szCs w:val="20"/>
              </w:rPr>
            </w:pPr>
            <w:r>
              <w:rPr>
                <w:sz w:val="20"/>
                <w:szCs w:val="20"/>
              </w:rPr>
              <w:t>Nový Sad</w:t>
            </w:r>
          </w:p>
        </w:tc>
        <w:tc>
          <w:tcPr>
            <w:tcW w:w="1662" w:type="dxa"/>
            <w:noWrap/>
          </w:tcPr>
          <w:p w14:paraId="5D4893EB" w14:textId="77777777" w:rsidR="005F69BB" w:rsidRPr="006D42E7" w:rsidRDefault="005F69BB" w:rsidP="009B17D6">
            <w:pPr>
              <w:jc w:val="right"/>
              <w:rPr>
                <w:sz w:val="20"/>
                <w:szCs w:val="20"/>
              </w:rPr>
            </w:pPr>
            <w:r>
              <w:rPr>
                <w:sz w:val="20"/>
                <w:szCs w:val="20"/>
              </w:rPr>
              <w:t>100 000,00</w:t>
            </w:r>
          </w:p>
        </w:tc>
        <w:tc>
          <w:tcPr>
            <w:tcW w:w="2458" w:type="dxa"/>
          </w:tcPr>
          <w:p w14:paraId="445F96EE" w14:textId="77777777" w:rsidR="005F69BB" w:rsidRPr="006D42E7" w:rsidRDefault="005F69BB" w:rsidP="009B17D6">
            <w:pPr>
              <w:rPr>
                <w:color w:val="000000"/>
                <w:sz w:val="20"/>
                <w:szCs w:val="20"/>
              </w:rPr>
            </w:pPr>
            <w:r>
              <w:rPr>
                <w:color w:val="000000"/>
                <w:sz w:val="20"/>
                <w:szCs w:val="20"/>
              </w:rPr>
              <w:t>VIVAX ACP - 12CH35AEQI INVERTER,</w:t>
            </w:r>
          </w:p>
          <w:p w14:paraId="222E0C44" w14:textId="77777777" w:rsidR="005F69BB" w:rsidRPr="006D42E7" w:rsidRDefault="005F69BB" w:rsidP="009B17D6">
            <w:pPr>
              <w:rPr>
                <w:sz w:val="20"/>
                <w:szCs w:val="20"/>
              </w:rPr>
            </w:pPr>
            <w:r>
              <w:rPr>
                <w:color w:val="000000"/>
                <w:sz w:val="20"/>
                <w:szCs w:val="20"/>
              </w:rPr>
              <w:t>Donášková služba</w:t>
            </w:r>
          </w:p>
        </w:tc>
      </w:tr>
      <w:tr w:rsidR="005F69BB" w:rsidRPr="006D42E7" w14:paraId="49336781" w14:textId="77777777" w:rsidTr="009B17D6">
        <w:trPr>
          <w:trHeight w:val="638"/>
          <w:jc w:val="center"/>
        </w:trPr>
        <w:tc>
          <w:tcPr>
            <w:tcW w:w="2882" w:type="dxa"/>
            <w:noWrap/>
          </w:tcPr>
          <w:p w14:paraId="26AF37CA" w14:textId="77777777" w:rsidR="005F69BB" w:rsidRPr="006D42E7" w:rsidRDefault="005F69BB" w:rsidP="009B17D6">
            <w:pPr>
              <w:rPr>
                <w:color w:val="000000"/>
                <w:sz w:val="20"/>
                <w:szCs w:val="20"/>
              </w:rPr>
            </w:pPr>
            <w:r>
              <w:rPr>
                <w:color w:val="000000"/>
                <w:sz w:val="20"/>
                <w:szCs w:val="20"/>
              </w:rPr>
              <w:t>ZŠ Novaka Radonjića</w:t>
            </w:r>
          </w:p>
          <w:p w14:paraId="2AFC1A13" w14:textId="77777777" w:rsidR="005F69BB" w:rsidRPr="006D42E7" w:rsidRDefault="005F69BB" w:rsidP="009B17D6">
            <w:pPr>
              <w:rPr>
                <w:sz w:val="20"/>
                <w:szCs w:val="20"/>
              </w:rPr>
            </w:pPr>
          </w:p>
        </w:tc>
        <w:tc>
          <w:tcPr>
            <w:tcW w:w="2214" w:type="dxa"/>
            <w:noWrap/>
          </w:tcPr>
          <w:p w14:paraId="24810EA4" w14:textId="77777777" w:rsidR="005F69BB" w:rsidRPr="006D42E7" w:rsidRDefault="005F69BB" w:rsidP="009B17D6">
            <w:pPr>
              <w:jc w:val="center"/>
              <w:rPr>
                <w:color w:val="000000"/>
                <w:sz w:val="20"/>
                <w:szCs w:val="20"/>
              </w:rPr>
            </w:pPr>
            <w:r>
              <w:rPr>
                <w:color w:val="000000"/>
                <w:sz w:val="20"/>
                <w:szCs w:val="20"/>
              </w:rPr>
              <w:t>Mol</w:t>
            </w:r>
          </w:p>
        </w:tc>
        <w:tc>
          <w:tcPr>
            <w:tcW w:w="1662" w:type="dxa"/>
            <w:noWrap/>
          </w:tcPr>
          <w:p w14:paraId="061B64DA" w14:textId="77777777" w:rsidR="005F69BB" w:rsidRPr="006D42E7" w:rsidRDefault="005F69BB" w:rsidP="009B17D6">
            <w:pPr>
              <w:jc w:val="right"/>
              <w:rPr>
                <w:sz w:val="20"/>
                <w:szCs w:val="20"/>
              </w:rPr>
            </w:pPr>
            <w:r>
              <w:rPr>
                <w:sz w:val="20"/>
                <w:szCs w:val="20"/>
              </w:rPr>
              <w:t>152 000,00</w:t>
            </w:r>
          </w:p>
        </w:tc>
        <w:tc>
          <w:tcPr>
            <w:tcW w:w="2458" w:type="dxa"/>
          </w:tcPr>
          <w:p w14:paraId="63F8A64E" w14:textId="77777777" w:rsidR="005F69BB" w:rsidRPr="006D42E7" w:rsidRDefault="005F69BB" w:rsidP="009B17D6">
            <w:pPr>
              <w:rPr>
                <w:color w:val="000000"/>
                <w:sz w:val="20"/>
                <w:szCs w:val="20"/>
              </w:rPr>
            </w:pPr>
            <w:r>
              <w:rPr>
                <w:color w:val="000000"/>
                <w:sz w:val="20"/>
                <w:szCs w:val="20"/>
              </w:rPr>
              <w:t xml:space="preserve">Interaktívna tabuľa Vision E 86" </w:t>
            </w:r>
          </w:p>
          <w:p w14:paraId="06F391F7" w14:textId="4897E66F" w:rsidR="005F69BB" w:rsidRPr="006D42E7" w:rsidRDefault="005F69BB" w:rsidP="000E6951">
            <w:pPr>
              <w:rPr>
                <w:sz w:val="20"/>
                <w:szCs w:val="20"/>
              </w:rPr>
            </w:pPr>
            <w:r>
              <w:rPr>
                <w:color w:val="000000"/>
                <w:sz w:val="20"/>
                <w:szCs w:val="20"/>
              </w:rPr>
              <w:t>Pohyblivý stojan na interaktívnu tabuľu, držiak na projektor Dodávka</w:t>
            </w:r>
          </w:p>
        </w:tc>
      </w:tr>
      <w:tr w:rsidR="005F69BB" w:rsidRPr="006D42E7" w14:paraId="144EDA84" w14:textId="77777777" w:rsidTr="009B17D6">
        <w:trPr>
          <w:trHeight w:val="405"/>
          <w:jc w:val="center"/>
        </w:trPr>
        <w:tc>
          <w:tcPr>
            <w:tcW w:w="2882" w:type="dxa"/>
            <w:noWrap/>
          </w:tcPr>
          <w:p w14:paraId="5416913C" w14:textId="77777777" w:rsidR="005F69BB" w:rsidRPr="006D42E7" w:rsidRDefault="005F69BB" w:rsidP="009B17D6">
            <w:pPr>
              <w:rPr>
                <w:color w:val="000000"/>
                <w:sz w:val="20"/>
                <w:szCs w:val="20"/>
              </w:rPr>
            </w:pPr>
            <w:r>
              <w:rPr>
                <w:sz w:val="20"/>
                <w:szCs w:val="20"/>
              </w:rPr>
              <w:t>ZŠ Bratov Stefanovićovcov</w:t>
            </w:r>
          </w:p>
          <w:p w14:paraId="00CE8EAE" w14:textId="77777777" w:rsidR="005F69BB" w:rsidRPr="006D42E7" w:rsidRDefault="005F69BB" w:rsidP="009B17D6">
            <w:pPr>
              <w:rPr>
                <w:sz w:val="20"/>
                <w:szCs w:val="20"/>
              </w:rPr>
            </w:pPr>
          </w:p>
        </w:tc>
        <w:tc>
          <w:tcPr>
            <w:tcW w:w="2214" w:type="dxa"/>
            <w:noWrap/>
          </w:tcPr>
          <w:p w14:paraId="0F44618F" w14:textId="77777777" w:rsidR="005F69BB" w:rsidRPr="006D42E7" w:rsidRDefault="005F69BB" w:rsidP="009B17D6">
            <w:pPr>
              <w:jc w:val="center"/>
              <w:rPr>
                <w:sz w:val="20"/>
                <w:szCs w:val="20"/>
              </w:rPr>
            </w:pPr>
            <w:r>
              <w:rPr>
                <w:sz w:val="20"/>
                <w:szCs w:val="20"/>
              </w:rPr>
              <w:t>Neuzina</w:t>
            </w:r>
          </w:p>
        </w:tc>
        <w:tc>
          <w:tcPr>
            <w:tcW w:w="1662" w:type="dxa"/>
            <w:noWrap/>
          </w:tcPr>
          <w:p w14:paraId="4D5F7534" w14:textId="77777777" w:rsidR="005F69BB" w:rsidRPr="006D42E7" w:rsidRDefault="005F69BB" w:rsidP="009B17D6">
            <w:pPr>
              <w:jc w:val="right"/>
              <w:rPr>
                <w:sz w:val="20"/>
                <w:szCs w:val="20"/>
              </w:rPr>
            </w:pPr>
            <w:r>
              <w:rPr>
                <w:sz w:val="20"/>
                <w:szCs w:val="20"/>
              </w:rPr>
              <w:t>130 000,00</w:t>
            </w:r>
          </w:p>
        </w:tc>
        <w:tc>
          <w:tcPr>
            <w:tcW w:w="2458" w:type="dxa"/>
          </w:tcPr>
          <w:p w14:paraId="62203174" w14:textId="77777777" w:rsidR="005F69BB" w:rsidRPr="006D42E7" w:rsidRDefault="005F69BB" w:rsidP="009B17D6">
            <w:pPr>
              <w:jc w:val="both"/>
              <w:rPr>
                <w:color w:val="000000"/>
                <w:sz w:val="20"/>
                <w:szCs w:val="20"/>
              </w:rPr>
            </w:pPr>
            <w:r>
              <w:rPr>
                <w:color w:val="000000"/>
                <w:sz w:val="20"/>
                <w:szCs w:val="20"/>
              </w:rPr>
              <w:t xml:space="preserve">NTB LENOVO V15 G4 IRU 83A 1006XYA, </w:t>
            </w:r>
          </w:p>
          <w:p w14:paraId="08162455" w14:textId="77777777" w:rsidR="005F69BB" w:rsidRPr="006D42E7" w:rsidRDefault="005F69BB" w:rsidP="009B17D6">
            <w:pPr>
              <w:jc w:val="both"/>
              <w:rPr>
                <w:color w:val="000000"/>
                <w:sz w:val="20"/>
                <w:szCs w:val="20"/>
              </w:rPr>
            </w:pPr>
            <w:r>
              <w:rPr>
                <w:color w:val="000000"/>
                <w:sz w:val="20"/>
                <w:szCs w:val="20"/>
              </w:rPr>
              <w:t xml:space="preserve">TAŠKA NTB NATEC MUSTELA 15,6, a </w:t>
            </w:r>
          </w:p>
          <w:p w14:paraId="486CE30A" w14:textId="7F0D9EF4" w:rsidR="005F69BB" w:rsidRPr="006D42E7" w:rsidRDefault="005F69BB" w:rsidP="000E6951">
            <w:pPr>
              <w:jc w:val="both"/>
              <w:rPr>
                <w:sz w:val="20"/>
                <w:szCs w:val="20"/>
              </w:rPr>
            </w:pPr>
            <w:r>
              <w:rPr>
                <w:color w:val="000000"/>
                <w:sz w:val="20"/>
                <w:szCs w:val="20"/>
              </w:rPr>
              <w:lastRenderedPageBreak/>
              <w:t>MOUSE GENIUS NX - 7005 WHITE.</w:t>
            </w:r>
          </w:p>
        </w:tc>
      </w:tr>
      <w:tr w:rsidR="005F69BB" w:rsidRPr="006D42E7" w14:paraId="3E712207" w14:textId="77777777" w:rsidTr="009B17D6">
        <w:trPr>
          <w:trHeight w:val="405"/>
          <w:jc w:val="center"/>
        </w:trPr>
        <w:tc>
          <w:tcPr>
            <w:tcW w:w="2882" w:type="dxa"/>
            <w:noWrap/>
          </w:tcPr>
          <w:p w14:paraId="3021B24D" w14:textId="77777777" w:rsidR="005F69BB" w:rsidRPr="006D42E7" w:rsidRDefault="005F69BB" w:rsidP="009B17D6">
            <w:pPr>
              <w:rPr>
                <w:color w:val="000000"/>
                <w:sz w:val="20"/>
                <w:szCs w:val="20"/>
              </w:rPr>
            </w:pPr>
            <w:r>
              <w:rPr>
                <w:sz w:val="20"/>
                <w:szCs w:val="20"/>
              </w:rPr>
              <w:lastRenderedPageBreak/>
              <w:t>ZŠ Nebojšu Jerkovića</w:t>
            </w:r>
          </w:p>
        </w:tc>
        <w:tc>
          <w:tcPr>
            <w:tcW w:w="2214" w:type="dxa"/>
            <w:noWrap/>
          </w:tcPr>
          <w:p w14:paraId="17C1FE3B" w14:textId="77777777" w:rsidR="005F69BB" w:rsidRPr="006D42E7" w:rsidRDefault="005F69BB" w:rsidP="009B17D6">
            <w:pPr>
              <w:jc w:val="center"/>
              <w:rPr>
                <w:color w:val="000000"/>
                <w:sz w:val="20"/>
                <w:szCs w:val="20"/>
              </w:rPr>
            </w:pPr>
            <w:r>
              <w:rPr>
                <w:color w:val="000000"/>
                <w:sz w:val="20"/>
                <w:szCs w:val="20"/>
              </w:rPr>
              <w:t>Budjanovci</w:t>
            </w:r>
          </w:p>
        </w:tc>
        <w:tc>
          <w:tcPr>
            <w:tcW w:w="1662" w:type="dxa"/>
            <w:noWrap/>
          </w:tcPr>
          <w:p w14:paraId="0842D123" w14:textId="77777777" w:rsidR="005F69BB" w:rsidRPr="006D42E7" w:rsidRDefault="005F69BB" w:rsidP="009B17D6">
            <w:pPr>
              <w:jc w:val="right"/>
              <w:rPr>
                <w:sz w:val="20"/>
                <w:szCs w:val="20"/>
              </w:rPr>
            </w:pPr>
            <w:r>
              <w:rPr>
                <w:sz w:val="20"/>
                <w:szCs w:val="20"/>
              </w:rPr>
              <w:t>100 000,00</w:t>
            </w:r>
          </w:p>
        </w:tc>
        <w:tc>
          <w:tcPr>
            <w:tcW w:w="2458" w:type="dxa"/>
          </w:tcPr>
          <w:p w14:paraId="065DEBEF" w14:textId="77777777" w:rsidR="005F69BB" w:rsidRPr="006D42E7" w:rsidRDefault="005F69BB" w:rsidP="009B17D6">
            <w:pPr>
              <w:rPr>
                <w:color w:val="000000"/>
                <w:sz w:val="20"/>
                <w:szCs w:val="20"/>
              </w:rPr>
            </w:pPr>
            <w:r>
              <w:rPr>
                <w:color w:val="000000"/>
                <w:sz w:val="20"/>
                <w:szCs w:val="20"/>
              </w:rPr>
              <w:t xml:space="preserve">Tlačiarne </w:t>
            </w:r>
          </w:p>
          <w:p w14:paraId="58A148C2" w14:textId="3C400507" w:rsidR="005F69BB" w:rsidRPr="006D42E7" w:rsidRDefault="005F69BB" w:rsidP="000E6951">
            <w:pPr>
              <w:rPr>
                <w:sz w:val="20"/>
                <w:szCs w:val="20"/>
              </w:rPr>
            </w:pPr>
            <w:r>
              <w:rPr>
                <w:color w:val="000000"/>
                <w:sz w:val="20"/>
                <w:szCs w:val="20"/>
              </w:rPr>
              <w:t>Laminovací stroj, Mapa Európy, Mapa Ázie, Indukčný glóbus, Politický glóbus, Trojuholník, Nerovnoramenný trojuholník, Pravítko, Uhlomer, Kružidlo, Skúmavky, Pipeta, Byreta, Lievik, Erlenmeyerova banka, Sklenená kadička, Odmerný valec, Stojan na skúmavky, Svorka na skúmavky, Model molekuly, Stojan na riad, mažiar a tĺčik, modrý lakmus, PH lakmus, filtračný papier, kefa na skúmavky a zvukový systém, dva reproduktory, dva mikrofóny.</w:t>
            </w:r>
          </w:p>
        </w:tc>
      </w:tr>
      <w:tr w:rsidR="005F69BB" w:rsidRPr="006D42E7" w14:paraId="581F13DF" w14:textId="77777777" w:rsidTr="009B17D6">
        <w:trPr>
          <w:trHeight w:val="405"/>
          <w:jc w:val="center"/>
        </w:trPr>
        <w:tc>
          <w:tcPr>
            <w:tcW w:w="2882" w:type="dxa"/>
            <w:noWrap/>
          </w:tcPr>
          <w:p w14:paraId="1533416F" w14:textId="77777777" w:rsidR="005F69BB" w:rsidRPr="006D42E7" w:rsidRDefault="005F69BB" w:rsidP="009B17D6">
            <w:pPr>
              <w:rPr>
                <w:color w:val="000000"/>
                <w:sz w:val="20"/>
                <w:szCs w:val="20"/>
              </w:rPr>
            </w:pPr>
            <w:r>
              <w:rPr>
                <w:color w:val="000000"/>
                <w:sz w:val="20"/>
                <w:szCs w:val="20"/>
              </w:rPr>
              <w:t xml:space="preserve">ZŠ </w:t>
            </w:r>
            <w:r>
              <w:rPr>
                <w:sz w:val="20"/>
                <w:szCs w:val="20"/>
              </w:rPr>
              <w:t xml:space="preserve"> Kárász Karoliny</w:t>
            </w:r>
          </w:p>
        </w:tc>
        <w:tc>
          <w:tcPr>
            <w:tcW w:w="2214" w:type="dxa"/>
            <w:noWrap/>
          </w:tcPr>
          <w:p w14:paraId="6A61FF76" w14:textId="77777777" w:rsidR="005F69BB" w:rsidRPr="006D42E7" w:rsidRDefault="005F69BB" w:rsidP="009B17D6">
            <w:pPr>
              <w:jc w:val="center"/>
              <w:rPr>
                <w:color w:val="000000"/>
                <w:sz w:val="20"/>
                <w:szCs w:val="20"/>
              </w:rPr>
            </w:pPr>
            <w:r>
              <w:rPr>
                <w:color w:val="000000"/>
                <w:sz w:val="20"/>
                <w:szCs w:val="20"/>
              </w:rPr>
              <w:t>Horgoš</w:t>
            </w:r>
          </w:p>
        </w:tc>
        <w:tc>
          <w:tcPr>
            <w:tcW w:w="1662" w:type="dxa"/>
            <w:noWrap/>
          </w:tcPr>
          <w:p w14:paraId="4C923E4A" w14:textId="77777777" w:rsidR="005F69BB" w:rsidRPr="006D42E7" w:rsidRDefault="005F69BB" w:rsidP="009B17D6">
            <w:pPr>
              <w:jc w:val="right"/>
              <w:rPr>
                <w:sz w:val="20"/>
                <w:szCs w:val="20"/>
              </w:rPr>
            </w:pPr>
            <w:r>
              <w:rPr>
                <w:sz w:val="20"/>
                <w:szCs w:val="20"/>
              </w:rPr>
              <w:t>350 000,00</w:t>
            </w:r>
          </w:p>
        </w:tc>
        <w:tc>
          <w:tcPr>
            <w:tcW w:w="2458" w:type="dxa"/>
          </w:tcPr>
          <w:p w14:paraId="216C705B" w14:textId="77777777" w:rsidR="005F69BB" w:rsidRPr="006D42E7" w:rsidRDefault="005F69BB" w:rsidP="009B17D6">
            <w:pPr>
              <w:jc w:val="both"/>
              <w:rPr>
                <w:sz w:val="20"/>
                <w:szCs w:val="20"/>
              </w:rPr>
            </w:pPr>
            <w:r>
              <w:rPr>
                <w:color w:val="000000"/>
                <w:sz w:val="20"/>
                <w:szCs w:val="20"/>
              </w:rPr>
              <w:t>Nástenná mapa sveta, Nástenná mapa Srbska, Plagát - ľudské telo (Embury test), Plagát ABC 2, Plagát s abecedou, Plagát s abecedou (anglicky), Násobilka B2, Drevená násobilka, Multifunkčné zariadenie XEROX 3025 NI, Tonerové náplne XEROX 3025, Laptop LENOVO IdeaPad/25.0GB projektor.</w:t>
            </w:r>
          </w:p>
        </w:tc>
      </w:tr>
      <w:tr w:rsidR="005F69BB" w:rsidRPr="00930C78" w14:paraId="16BF833B" w14:textId="77777777" w:rsidTr="009B17D6">
        <w:trPr>
          <w:trHeight w:val="300"/>
          <w:jc w:val="center"/>
        </w:trPr>
        <w:tc>
          <w:tcPr>
            <w:tcW w:w="5096" w:type="dxa"/>
            <w:gridSpan w:val="2"/>
            <w:noWrap/>
            <w:hideMark/>
          </w:tcPr>
          <w:p w14:paraId="3B4A306C" w14:textId="77777777" w:rsidR="005F69BB" w:rsidRPr="006D42E7" w:rsidRDefault="005F69BB" w:rsidP="009B17D6">
            <w:pPr>
              <w:rPr>
                <w:b/>
                <w:sz w:val="20"/>
                <w:szCs w:val="20"/>
              </w:rPr>
            </w:pPr>
            <w:r>
              <w:rPr>
                <w:b/>
                <w:sz w:val="20"/>
                <w:szCs w:val="20"/>
              </w:rPr>
              <w:t>SPOLU</w:t>
            </w:r>
          </w:p>
        </w:tc>
        <w:tc>
          <w:tcPr>
            <w:tcW w:w="1662" w:type="dxa"/>
            <w:noWrap/>
            <w:hideMark/>
          </w:tcPr>
          <w:p w14:paraId="283073FB" w14:textId="77777777" w:rsidR="005F69BB" w:rsidRPr="00930C78" w:rsidRDefault="005F69BB" w:rsidP="009B17D6">
            <w:pPr>
              <w:jc w:val="right"/>
              <w:rPr>
                <w:b/>
                <w:color w:val="000000"/>
                <w:sz w:val="20"/>
                <w:szCs w:val="20"/>
              </w:rPr>
            </w:pPr>
            <w:r>
              <w:rPr>
                <w:b/>
                <w:color w:val="000000"/>
                <w:sz w:val="20"/>
                <w:szCs w:val="20"/>
              </w:rPr>
              <w:t>2 000 000,00</w:t>
            </w:r>
          </w:p>
        </w:tc>
        <w:tc>
          <w:tcPr>
            <w:tcW w:w="2458" w:type="dxa"/>
          </w:tcPr>
          <w:p w14:paraId="65DE285E" w14:textId="77777777" w:rsidR="005F69BB" w:rsidRPr="00930C78" w:rsidRDefault="005F69BB" w:rsidP="009B17D6">
            <w:pPr>
              <w:jc w:val="right"/>
              <w:rPr>
                <w:b/>
                <w:color w:val="000000"/>
                <w:sz w:val="20"/>
                <w:szCs w:val="20"/>
              </w:rPr>
            </w:pPr>
          </w:p>
        </w:tc>
      </w:tr>
    </w:tbl>
    <w:p w14:paraId="7166AF79" w14:textId="0B66AF9E" w:rsidR="005F69BB" w:rsidRDefault="005F69BB" w:rsidP="00DD318F">
      <w:pPr>
        <w:spacing w:after="200" w:line="276" w:lineRule="auto"/>
        <w:rPr>
          <w:rFonts w:asciiTheme="minorHAnsi" w:hAnsiTheme="minorHAnsi"/>
          <w:sz w:val="20"/>
          <w:szCs w:val="20"/>
          <w:lang w:val="ru-RU"/>
        </w:rPr>
      </w:pPr>
    </w:p>
    <w:p w14:paraId="299557C5" w14:textId="6154FB87" w:rsidR="00F63227" w:rsidRPr="00D453AA" w:rsidRDefault="00F63227" w:rsidP="00F63227">
      <w:pPr>
        <w:ind w:right="15"/>
        <w:jc w:val="center"/>
        <w:rPr>
          <w:rFonts w:asciiTheme="minorHAnsi" w:hAnsiTheme="minorHAnsi"/>
          <w:b/>
          <w:color w:val="000000"/>
          <w:sz w:val="20"/>
          <w:szCs w:val="20"/>
        </w:rPr>
      </w:pPr>
      <w:r>
        <w:rPr>
          <w:rFonts w:asciiTheme="minorHAnsi" w:hAnsiTheme="minorHAnsi"/>
          <w:b/>
          <w:bCs/>
          <w:color w:val="000000"/>
          <w:sz w:val="20"/>
          <w:szCs w:val="20"/>
        </w:rPr>
        <w:t>III.</w:t>
      </w:r>
    </w:p>
    <w:p w14:paraId="5E4B007F" w14:textId="77777777" w:rsidR="00F63227" w:rsidRPr="00F63227" w:rsidRDefault="00F63227" w:rsidP="00F63227">
      <w:pPr>
        <w:tabs>
          <w:tab w:val="left" w:pos="0"/>
          <w:tab w:val="left" w:pos="720"/>
        </w:tabs>
        <w:ind w:right="102"/>
        <w:jc w:val="both"/>
        <w:rPr>
          <w:rFonts w:asciiTheme="minorHAnsi" w:hAnsiTheme="minorHAnsi"/>
          <w:sz w:val="20"/>
          <w:szCs w:val="20"/>
          <w:lang w:val="sr-Cyrl-CS"/>
        </w:rPr>
      </w:pPr>
    </w:p>
    <w:p w14:paraId="2A632A08" w14:textId="7E5F01D1" w:rsidR="00F63227" w:rsidRPr="00F63227" w:rsidRDefault="00F63227" w:rsidP="00F63227">
      <w:pPr>
        <w:tabs>
          <w:tab w:val="left" w:pos="0"/>
          <w:tab w:val="left" w:pos="720"/>
        </w:tabs>
        <w:ind w:right="102"/>
        <w:jc w:val="both"/>
        <w:rPr>
          <w:rFonts w:asciiTheme="minorHAnsi" w:hAnsiTheme="minorHAnsi"/>
          <w:sz w:val="20"/>
          <w:szCs w:val="20"/>
        </w:rPr>
      </w:pPr>
      <w:r>
        <w:rPr>
          <w:rFonts w:asciiTheme="minorHAnsi" w:hAnsiTheme="minorHAnsi"/>
          <w:sz w:val="20"/>
          <w:szCs w:val="20"/>
        </w:rPr>
        <w:tab/>
        <w:t>Prostriedky z bodu II. tohto rozhodnutia sú určené Pokrajinským parlamentným uznesením o rozpočte Autonómnej pokrajiny Vojvodiny  na rok 2025 (Úradný vestník APV č. 57/24), v osobitnom oddieli Pokrajinského sekretariátu vzdelávania, predpisov, správy a národnostných menšín – národnostných spoločenstiev (ďalej: sekretariát), Program 2003 – Základné vzdelávanie, Programová aktivita 1005 – Vzdelávanie dospelých, funkčná klasifikácia 910, ekonomická klasifikácia 4632– Kapitálové transfery iným úrovniam správy, zdroj financovania 01 00 – Všeobecné príjmy a výnosy rozpočtu a sú prevádzané užívateľom v súlade s prílevom finančných prostriedkov do rozpočtu AP Vojvodiny, resp. s likvidnými možnosťami rozpočtu.</w:t>
      </w:r>
    </w:p>
    <w:p w14:paraId="39503BCA" w14:textId="77777777" w:rsidR="00F63227" w:rsidRPr="00F63227" w:rsidRDefault="00F63227" w:rsidP="00F63227">
      <w:pPr>
        <w:pStyle w:val="BlockText"/>
        <w:tabs>
          <w:tab w:val="left" w:pos="0"/>
          <w:tab w:val="left" w:pos="1440"/>
        </w:tabs>
        <w:ind w:left="0" w:right="-11" w:firstLine="0"/>
        <w:jc w:val="center"/>
        <w:rPr>
          <w:rFonts w:asciiTheme="minorHAnsi" w:hAnsiTheme="minorHAnsi"/>
          <w:b/>
          <w:color w:val="000000"/>
          <w:sz w:val="20"/>
          <w:szCs w:val="20"/>
          <w:lang w:val="sr-Cyrl-RS"/>
        </w:rPr>
      </w:pPr>
    </w:p>
    <w:p w14:paraId="561287C7" w14:textId="77777777" w:rsidR="00F63227" w:rsidRPr="00F63227" w:rsidRDefault="00F63227" w:rsidP="00F63227">
      <w:pPr>
        <w:pStyle w:val="BlockText"/>
        <w:tabs>
          <w:tab w:val="left" w:pos="0"/>
          <w:tab w:val="left" w:pos="1440"/>
        </w:tabs>
        <w:ind w:left="0" w:right="-11" w:firstLine="0"/>
        <w:jc w:val="center"/>
        <w:rPr>
          <w:rFonts w:asciiTheme="minorHAnsi" w:hAnsiTheme="minorHAnsi"/>
          <w:sz w:val="20"/>
          <w:szCs w:val="20"/>
        </w:rPr>
      </w:pPr>
      <w:r>
        <w:rPr>
          <w:rFonts w:asciiTheme="minorHAnsi" w:hAnsiTheme="minorHAnsi"/>
          <w:b/>
          <w:color w:val="000000"/>
          <w:sz w:val="20"/>
          <w:szCs w:val="20"/>
        </w:rPr>
        <w:t>IV.</w:t>
      </w:r>
    </w:p>
    <w:p w14:paraId="1FEFBD81" w14:textId="77777777" w:rsidR="00F63227" w:rsidRPr="00F63227" w:rsidRDefault="00F63227" w:rsidP="00F63227">
      <w:pPr>
        <w:pStyle w:val="BlockText"/>
        <w:tabs>
          <w:tab w:val="left" w:pos="0"/>
          <w:tab w:val="left" w:pos="1440"/>
        </w:tabs>
        <w:ind w:left="0" w:right="-11" w:firstLine="0"/>
        <w:jc w:val="center"/>
        <w:rPr>
          <w:rFonts w:asciiTheme="minorHAnsi" w:hAnsiTheme="minorHAnsi"/>
          <w:b/>
          <w:color w:val="000000"/>
          <w:sz w:val="20"/>
          <w:szCs w:val="20"/>
          <w:lang w:val="en-US"/>
        </w:rPr>
      </w:pPr>
    </w:p>
    <w:p w14:paraId="4B45BA08" w14:textId="77777777" w:rsidR="00F63227" w:rsidRDefault="00F63227" w:rsidP="00F63227">
      <w:pPr>
        <w:tabs>
          <w:tab w:val="left" w:pos="0"/>
          <w:tab w:val="left" w:pos="720"/>
        </w:tabs>
        <w:ind w:right="102"/>
        <w:jc w:val="both"/>
        <w:rPr>
          <w:rFonts w:asciiTheme="minorHAnsi" w:hAnsiTheme="minorHAnsi"/>
          <w:sz w:val="20"/>
          <w:szCs w:val="20"/>
        </w:rPr>
      </w:pPr>
      <w:r>
        <w:rPr>
          <w:rFonts w:asciiTheme="minorHAnsi" w:hAnsiTheme="minorHAnsi"/>
          <w:bCs/>
          <w:iCs/>
          <w:sz w:val="20"/>
          <w:szCs w:val="20"/>
        </w:rPr>
        <w:tab/>
      </w:r>
      <w:r>
        <w:rPr>
          <w:rFonts w:asciiTheme="minorHAnsi" w:hAnsiTheme="minorHAnsi"/>
          <w:sz w:val="20"/>
          <w:szCs w:val="20"/>
        </w:rPr>
        <w:t>Používatelia pri nákupe zariadenia uvedeného v článku 1.  tohto rozhodnutia konajú v súlade s ustanoveniami Zákona o verejnom obstarávaní (vestník Službeni glasnik RS č. 91/19 a 92/23) a svojim interným akt o verejnom obstarávaní a obstarávaní, na ktoré sa zákon nevzťahuje. Za postup obstarávania a výber uchádzača zodpovedá obstarávateľ - užívateľ a v ňom zodpovedná osoba.</w:t>
      </w:r>
    </w:p>
    <w:p w14:paraId="44395602" w14:textId="77777777" w:rsidR="00DD318F" w:rsidRPr="00D453AA" w:rsidRDefault="00DD318F" w:rsidP="0008350E">
      <w:pPr>
        <w:tabs>
          <w:tab w:val="left" w:pos="1260"/>
          <w:tab w:val="left" w:pos="3960"/>
        </w:tabs>
        <w:jc w:val="both"/>
        <w:rPr>
          <w:rFonts w:asciiTheme="minorHAnsi" w:hAnsiTheme="minorHAnsi"/>
          <w:bCs/>
          <w:iCs/>
          <w:sz w:val="20"/>
          <w:szCs w:val="20"/>
          <w:lang w:val="ru-RU"/>
        </w:rPr>
      </w:pPr>
    </w:p>
    <w:p w14:paraId="66A5622A" w14:textId="77777777" w:rsidR="00DD318F" w:rsidRPr="00D453AA" w:rsidRDefault="00DD318F" w:rsidP="0008350E">
      <w:pPr>
        <w:tabs>
          <w:tab w:val="left" w:pos="0"/>
          <w:tab w:val="left" w:pos="540"/>
          <w:tab w:val="left" w:pos="720"/>
          <w:tab w:val="left" w:pos="1440"/>
          <w:tab w:val="left" w:pos="5040"/>
        </w:tabs>
        <w:jc w:val="center"/>
        <w:rPr>
          <w:rFonts w:asciiTheme="minorHAnsi" w:hAnsiTheme="minorHAnsi"/>
          <w:b/>
          <w:color w:val="000000"/>
          <w:sz w:val="20"/>
          <w:szCs w:val="20"/>
        </w:rPr>
      </w:pPr>
      <w:r>
        <w:rPr>
          <w:rFonts w:asciiTheme="minorHAnsi" w:hAnsiTheme="minorHAnsi"/>
          <w:b/>
          <w:color w:val="000000"/>
          <w:sz w:val="20"/>
          <w:szCs w:val="20"/>
        </w:rPr>
        <w:t>V.</w:t>
      </w:r>
    </w:p>
    <w:p w14:paraId="71B3E47C" w14:textId="77777777" w:rsidR="00DD318F" w:rsidRPr="00D453AA" w:rsidRDefault="00DD318F" w:rsidP="0008350E">
      <w:pPr>
        <w:tabs>
          <w:tab w:val="left" w:pos="0"/>
          <w:tab w:val="left" w:pos="540"/>
          <w:tab w:val="left" w:pos="720"/>
          <w:tab w:val="left" w:pos="1440"/>
          <w:tab w:val="left" w:pos="5040"/>
        </w:tabs>
        <w:jc w:val="center"/>
        <w:rPr>
          <w:rFonts w:asciiTheme="minorHAnsi" w:hAnsiTheme="minorHAnsi"/>
          <w:b/>
          <w:color w:val="000000"/>
          <w:sz w:val="20"/>
          <w:szCs w:val="20"/>
          <w:lang w:val="ru-RU"/>
        </w:rPr>
      </w:pPr>
    </w:p>
    <w:p w14:paraId="1D515339" w14:textId="77777777" w:rsidR="00DD318F" w:rsidRPr="00D453AA" w:rsidRDefault="002F1673" w:rsidP="0008350E">
      <w:pPr>
        <w:tabs>
          <w:tab w:val="left" w:pos="0"/>
        </w:tabs>
        <w:jc w:val="both"/>
        <w:rPr>
          <w:rFonts w:asciiTheme="minorHAnsi" w:hAnsiTheme="minorHAnsi"/>
          <w:color w:val="000000"/>
          <w:sz w:val="20"/>
          <w:szCs w:val="20"/>
        </w:rPr>
      </w:pPr>
      <w:r>
        <w:rPr>
          <w:rFonts w:asciiTheme="minorHAnsi" w:hAnsiTheme="minorHAnsi"/>
          <w:color w:val="000000"/>
          <w:sz w:val="20"/>
          <w:szCs w:val="20"/>
        </w:rPr>
        <w:tab/>
        <w:t xml:space="preserve">Sekretariát informuje užívateľa o rozdelení finančných prostriedkov určených týmto rozhodnutím. </w:t>
      </w:r>
    </w:p>
    <w:p w14:paraId="53F27405" w14:textId="77777777" w:rsidR="002F1673" w:rsidRPr="00D453AA" w:rsidRDefault="002F1673" w:rsidP="0008350E">
      <w:pPr>
        <w:tabs>
          <w:tab w:val="left" w:pos="0"/>
          <w:tab w:val="left" w:pos="1080"/>
          <w:tab w:val="left" w:pos="1440"/>
          <w:tab w:val="left" w:pos="5040"/>
        </w:tabs>
        <w:jc w:val="center"/>
        <w:rPr>
          <w:rFonts w:asciiTheme="minorHAnsi" w:hAnsiTheme="minorHAnsi"/>
          <w:b/>
          <w:color w:val="000000"/>
          <w:sz w:val="20"/>
          <w:szCs w:val="20"/>
          <w:lang w:val="ru-RU"/>
        </w:rPr>
      </w:pPr>
    </w:p>
    <w:p w14:paraId="1759B424" w14:textId="77777777" w:rsidR="00DD318F" w:rsidRPr="00D453AA" w:rsidRDefault="00DD318F" w:rsidP="0008350E">
      <w:pPr>
        <w:tabs>
          <w:tab w:val="left" w:pos="0"/>
          <w:tab w:val="left" w:pos="1080"/>
          <w:tab w:val="left" w:pos="1440"/>
          <w:tab w:val="left" w:pos="5040"/>
        </w:tabs>
        <w:jc w:val="center"/>
        <w:rPr>
          <w:rFonts w:asciiTheme="minorHAnsi" w:hAnsiTheme="minorHAnsi"/>
          <w:b/>
          <w:color w:val="000000"/>
          <w:sz w:val="20"/>
          <w:szCs w:val="20"/>
        </w:rPr>
      </w:pPr>
      <w:r>
        <w:rPr>
          <w:rFonts w:asciiTheme="minorHAnsi" w:hAnsiTheme="minorHAnsi"/>
          <w:b/>
          <w:color w:val="000000"/>
          <w:sz w:val="20"/>
          <w:szCs w:val="20"/>
        </w:rPr>
        <w:t>VI.</w:t>
      </w:r>
    </w:p>
    <w:p w14:paraId="67609820" w14:textId="77777777" w:rsidR="00DD318F" w:rsidRPr="00D453AA" w:rsidRDefault="00DD318F" w:rsidP="0008350E">
      <w:pPr>
        <w:tabs>
          <w:tab w:val="left" w:pos="0"/>
          <w:tab w:val="left" w:pos="1080"/>
          <w:tab w:val="left" w:pos="1440"/>
          <w:tab w:val="left" w:pos="5040"/>
        </w:tabs>
        <w:rPr>
          <w:rFonts w:asciiTheme="minorHAnsi" w:hAnsiTheme="minorHAnsi"/>
          <w:b/>
          <w:color w:val="000000"/>
          <w:sz w:val="20"/>
          <w:szCs w:val="20"/>
          <w:lang w:val="ru-RU"/>
        </w:rPr>
      </w:pPr>
    </w:p>
    <w:p w14:paraId="7FB8F5AA" w14:textId="77777777" w:rsidR="00DD318F" w:rsidRPr="00D453AA" w:rsidRDefault="002F1673" w:rsidP="0008350E">
      <w:pPr>
        <w:tabs>
          <w:tab w:val="left" w:pos="0"/>
        </w:tabs>
        <w:jc w:val="both"/>
        <w:rPr>
          <w:rFonts w:asciiTheme="minorHAnsi" w:hAnsiTheme="minorHAnsi"/>
          <w:color w:val="000000"/>
          <w:sz w:val="20"/>
          <w:szCs w:val="20"/>
        </w:rPr>
      </w:pPr>
      <w:r>
        <w:rPr>
          <w:rFonts w:asciiTheme="minorHAnsi" w:hAnsiTheme="minorHAnsi"/>
          <w:color w:val="000000"/>
          <w:sz w:val="20"/>
          <w:szCs w:val="20"/>
        </w:rPr>
        <w:tab/>
        <w:t xml:space="preserve">Sekretariát prevezme záväzok voči užívateľom na základe písomnej zmluvy. </w:t>
      </w:r>
    </w:p>
    <w:p w14:paraId="75B56621" w14:textId="77777777" w:rsidR="00DD318F" w:rsidRPr="00D453AA" w:rsidRDefault="00DD318F" w:rsidP="0008350E">
      <w:pPr>
        <w:tabs>
          <w:tab w:val="left" w:pos="0"/>
          <w:tab w:val="left" w:pos="1080"/>
          <w:tab w:val="left" w:pos="1440"/>
          <w:tab w:val="left" w:pos="5040"/>
        </w:tabs>
        <w:jc w:val="both"/>
        <w:rPr>
          <w:rFonts w:asciiTheme="minorHAnsi" w:hAnsiTheme="minorHAnsi"/>
          <w:b/>
          <w:color w:val="000000"/>
          <w:sz w:val="20"/>
          <w:szCs w:val="20"/>
          <w:lang w:val="ru-RU"/>
        </w:rPr>
      </w:pPr>
    </w:p>
    <w:p w14:paraId="4B1BE511" w14:textId="77777777" w:rsidR="00DD318F" w:rsidRPr="00D453AA" w:rsidRDefault="00DD318F" w:rsidP="0008350E">
      <w:pPr>
        <w:pStyle w:val="BodyTextIndent3"/>
        <w:tabs>
          <w:tab w:val="clear" w:pos="1500"/>
          <w:tab w:val="left" w:pos="5040"/>
        </w:tabs>
        <w:ind w:right="0" w:firstLine="0"/>
        <w:jc w:val="center"/>
        <w:rPr>
          <w:rFonts w:asciiTheme="minorHAnsi" w:hAnsiTheme="minorHAnsi"/>
          <w:b/>
          <w:color w:val="000000"/>
          <w:sz w:val="20"/>
          <w:szCs w:val="20"/>
        </w:rPr>
      </w:pPr>
      <w:r>
        <w:rPr>
          <w:rFonts w:asciiTheme="minorHAnsi" w:hAnsiTheme="minorHAnsi"/>
          <w:b/>
          <w:color w:val="000000"/>
          <w:sz w:val="20"/>
          <w:szCs w:val="20"/>
        </w:rPr>
        <w:t>VII.</w:t>
      </w:r>
    </w:p>
    <w:p w14:paraId="082F985E" w14:textId="77777777" w:rsidR="00DD318F" w:rsidRPr="00D453AA" w:rsidRDefault="00DD318F" w:rsidP="0008350E">
      <w:pPr>
        <w:pStyle w:val="BodyTextIndent3"/>
        <w:tabs>
          <w:tab w:val="clear" w:pos="1500"/>
          <w:tab w:val="left" w:pos="5040"/>
        </w:tabs>
        <w:ind w:right="0" w:firstLine="0"/>
        <w:jc w:val="center"/>
        <w:rPr>
          <w:rFonts w:asciiTheme="minorHAnsi" w:hAnsiTheme="minorHAnsi"/>
          <w:b/>
          <w:color w:val="000000"/>
          <w:sz w:val="20"/>
          <w:szCs w:val="20"/>
        </w:rPr>
      </w:pPr>
    </w:p>
    <w:p w14:paraId="24F503CD" w14:textId="77777777" w:rsidR="00DD318F" w:rsidRPr="00D453AA" w:rsidRDefault="006316B4" w:rsidP="0008350E">
      <w:pPr>
        <w:pStyle w:val="BodyTextIndent3"/>
        <w:tabs>
          <w:tab w:val="clear" w:pos="1260"/>
          <w:tab w:val="clear" w:pos="1440"/>
          <w:tab w:val="clear" w:pos="1500"/>
          <w:tab w:val="left" w:pos="0"/>
        </w:tabs>
        <w:ind w:right="0" w:firstLine="0"/>
        <w:rPr>
          <w:rFonts w:asciiTheme="minorHAnsi" w:hAnsiTheme="minorHAnsi"/>
          <w:color w:val="000000"/>
          <w:sz w:val="20"/>
          <w:szCs w:val="20"/>
        </w:rPr>
      </w:pPr>
      <w:r>
        <w:rPr>
          <w:rFonts w:asciiTheme="minorHAnsi" w:hAnsiTheme="minorHAnsi"/>
          <w:color w:val="000000"/>
          <w:sz w:val="20"/>
          <w:szCs w:val="20"/>
        </w:rPr>
        <w:tab/>
        <w:t>Toto rozhodnutie je konečné a nemožno proti nemu podať opravný prostriedok.</w:t>
      </w:r>
    </w:p>
    <w:p w14:paraId="669F850B" w14:textId="77777777" w:rsidR="00DD318F" w:rsidRPr="00D453AA" w:rsidRDefault="00DD318F" w:rsidP="00DD318F">
      <w:pPr>
        <w:jc w:val="both"/>
        <w:rPr>
          <w:rFonts w:asciiTheme="minorHAnsi" w:hAnsiTheme="minorHAnsi"/>
          <w:color w:val="000000"/>
          <w:sz w:val="20"/>
          <w:szCs w:val="20"/>
          <w:lang w:val="ru-RU"/>
        </w:rPr>
      </w:pPr>
    </w:p>
    <w:p w14:paraId="10BFF255" w14:textId="77777777" w:rsidR="00DD318F" w:rsidRPr="00D453AA" w:rsidRDefault="00DD318F" w:rsidP="00DD318F">
      <w:pPr>
        <w:jc w:val="both"/>
        <w:rPr>
          <w:rFonts w:asciiTheme="minorHAnsi" w:hAnsiTheme="minorHAnsi"/>
          <w:b/>
          <w:color w:val="000000"/>
          <w:sz w:val="20"/>
          <w:szCs w:val="20"/>
          <w:lang w:val="ru-RU"/>
        </w:rPr>
      </w:pPr>
    </w:p>
    <w:p w14:paraId="2EC0599B" w14:textId="77777777" w:rsidR="00DD318F" w:rsidRPr="00D453AA" w:rsidRDefault="00DD318F" w:rsidP="00DD318F">
      <w:pPr>
        <w:jc w:val="center"/>
        <w:rPr>
          <w:rFonts w:asciiTheme="minorHAnsi" w:hAnsiTheme="minorHAnsi"/>
          <w:b/>
          <w:color w:val="000000"/>
          <w:sz w:val="20"/>
          <w:szCs w:val="20"/>
        </w:rPr>
      </w:pPr>
      <w:r>
        <w:rPr>
          <w:rFonts w:asciiTheme="minorHAnsi" w:hAnsiTheme="minorHAnsi"/>
          <w:b/>
          <w:color w:val="000000"/>
          <w:sz w:val="20"/>
          <w:szCs w:val="20"/>
        </w:rPr>
        <w:t>VIII.</w:t>
      </w:r>
    </w:p>
    <w:p w14:paraId="243A6807" w14:textId="77777777" w:rsidR="00DD318F" w:rsidRPr="00D453AA" w:rsidRDefault="00DD318F" w:rsidP="00DD318F">
      <w:pPr>
        <w:jc w:val="center"/>
        <w:rPr>
          <w:rFonts w:asciiTheme="minorHAnsi" w:hAnsiTheme="minorHAnsi"/>
          <w:b/>
          <w:color w:val="000000"/>
          <w:sz w:val="20"/>
          <w:szCs w:val="20"/>
          <w:lang w:val="sr-Latn-CS"/>
        </w:rPr>
      </w:pPr>
    </w:p>
    <w:p w14:paraId="6FB58A6A" w14:textId="77777777" w:rsidR="00DD318F" w:rsidRPr="00D453AA" w:rsidRDefault="002F1673" w:rsidP="002F1673">
      <w:pPr>
        <w:pStyle w:val="BodyTextIndent3"/>
        <w:tabs>
          <w:tab w:val="clear" w:pos="1260"/>
          <w:tab w:val="clear" w:pos="1440"/>
          <w:tab w:val="clear" w:pos="1500"/>
          <w:tab w:val="left" w:pos="0"/>
        </w:tabs>
        <w:ind w:firstLine="0"/>
        <w:rPr>
          <w:rFonts w:asciiTheme="minorHAnsi" w:hAnsiTheme="minorHAnsi"/>
          <w:sz w:val="20"/>
          <w:szCs w:val="20"/>
        </w:rPr>
      </w:pPr>
      <w:r>
        <w:rPr>
          <w:rFonts w:asciiTheme="minorHAnsi" w:hAnsiTheme="minorHAnsi"/>
          <w:color w:val="000000"/>
          <w:sz w:val="20"/>
          <w:szCs w:val="20"/>
        </w:rPr>
        <w:tab/>
      </w:r>
      <w:r>
        <w:rPr>
          <w:rFonts w:asciiTheme="minorHAnsi" w:hAnsiTheme="minorHAnsi"/>
          <w:sz w:val="20"/>
          <w:szCs w:val="20"/>
        </w:rPr>
        <w:t>Za výkon tohto rozhodnutia je zodpovedný Sektor pre hmotno-finančné úkony sekretariátu.</w:t>
      </w:r>
    </w:p>
    <w:p w14:paraId="228BF55A" w14:textId="77777777" w:rsidR="00DD318F" w:rsidRPr="00D453AA" w:rsidRDefault="00DD318F" w:rsidP="00DD318F">
      <w:pPr>
        <w:jc w:val="both"/>
        <w:rPr>
          <w:rFonts w:asciiTheme="minorHAnsi" w:hAnsiTheme="minorHAnsi"/>
          <w:b/>
          <w:color w:val="000000"/>
          <w:sz w:val="20"/>
          <w:szCs w:val="20"/>
          <w:lang w:val="sr-Cyrl-RS"/>
        </w:rPr>
      </w:pPr>
    </w:p>
    <w:p w14:paraId="6E504673" w14:textId="77777777" w:rsidR="00DD318F" w:rsidRPr="00D453AA" w:rsidRDefault="00DD318F" w:rsidP="00DD318F">
      <w:pPr>
        <w:jc w:val="both"/>
        <w:rPr>
          <w:rFonts w:asciiTheme="minorHAnsi" w:hAnsiTheme="minorHAnsi"/>
          <w:b/>
          <w:color w:val="000000"/>
          <w:sz w:val="20"/>
          <w:szCs w:val="20"/>
          <w:lang w:val="sr-Latn-CS"/>
        </w:rPr>
      </w:pPr>
    </w:p>
    <w:p w14:paraId="090A1D86" w14:textId="77777777" w:rsidR="002F1673" w:rsidRPr="00D453AA" w:rsidRDefault="002F1673" w:rsidP="00DD318F">
      <w:pPr>
        <w:jc w:val="both"/>
        <w:rPr>
          <w:rFonts w:asciiTheme="minorHAnsi" w:hAnsiTheme="minorHAnsi"/>
          <w:b/>
          <w:color w:val="000000"/>
          <w:sz w:val="20"/>
          <w:szCs w:val="20"/>
          <w:lang w:val="sr-Cyrl-RS"/>
        </w:rPr>
      </w:pPr>
    </w:p>
    <w:p w14:paraId="641B4AC9" w14:textId="77777777" w:rsidR="002F1673" w:rsidRPr="00D453AA" w:rsidRDefault="002F1673" w:rsidP="00DD318F">
      <w:pPr>
        <w:jc w:val="both"/>
        <w:rPr>
          <w:rFonts w:asciiTheme="minorHAnsi" w:hAnsiTheme="minorHAnsi"/>
          <w:b/>
          <w:color w:val="000000"/>
          <w:sz w:val="20"/>
          <w:szCs w:val="20"/>
          <w:lang w:val="sr-Cyrl-RS"/>
        </w:rPr>
      </w:pPr>
    </w:p>
    <w:p w14:paraId="0610E833" w14:textId="77777777" w:rsidR="00DD318F" w:rsidRPr="00D453AA" w:rsidRDefault="00DD318F" w:rsidP="00DD318F">
      <w:pPr>
        <w:jc w:val="both"/>
        <w:rPr>
          <w:rFonts w:asciiTheme="minorHAnsi" w:hAnsiTheme="minorHAnsi"/>
          <w:b/>
          <w:color w:val="000000"/>
          <w:sz w:val="20"/>
          <w:szCs w:val="20"/>
        </w:rPr>
      </w:pPr>
      <w:r>
        <w:rPr>
          <w:rFonts w:asciiTheme="minorHAnsi" w:hAnsiTheme="minorHAnsi"/>
          <w:b/>
          <w:color w:val="000000"/>
          <w:sz w:val="20"/>
          <w:szCs w:val="20"/>
        </w:rPr>
        <w:t>Rozhodnutie doručiť:</w:t>
      </w:r>
    </w:p>
    <w:p w14:paraId="51A8A493" w14:textId="77777777" w:rsidR="00DD318F" w:rsidRPr="00D453AA" w:rsidRDefault="00DD318F" w:rsidP="00DD318F">
      <w:pPr>
        <w:numPr>
          <w:ilvl w:val="0"/>
          <w:numId w:val="1"/>
        </w:numPr>
        <w:jc w:val="both"/>
        <w:rPr>
          <w:rFonts w:asciiTheme="minorHAnsi" w:hAnsiTheme="minorHAnsi"/>
          <w:color w:val="000000"/>
          <w:sz w:val="20"/>
          <w:szCs w:val="20"/>
        </w:rPr>
      </w:pPr>
      <w:r>
        <w:rPr>
          <w:rFonts w:asciiTheme="minorHAnsi" w:hAnsiTheme="minorHAnsi"/>
          <w:color w:val="000000"/>
          <w:sz w:val="20"/>
          <w:szCs w:val="20"/>
        </w:rPr>
        <w:t>Sektoru pre hmotno-finančné úkony sekretariátu</w:t>
      </w:r>
    </w:p>
    <w:p w14:paraId="4DBE7025" w14:textId="77777777" w:rsidR="00DD318F" w:rsidRPr="00D453AA" w:rsidRDefault="00DD318F" w:rsidP="00DD318F">
      <w:pPr>
        <w:numPr>
          <w:ilvl w:val="0"/>
          <w:numId w:val="1"/>
        </w:numPr>
        <w:jc w:val="both"/>
        <w:rPr>
          <w:rFonts w:asciiTheme="minorHAnsi" w:hAnsiTheme="minorHAnsi"/>
          <w:color w:val="000000"/>
          <w:sz w:val="20"/>
          <w:szCs w:val="20"/>
        </w:rPr>
      </w:pPr>
      <w:r>
        <w:rPr>
          <w:rFonts w:asciiTheme="minorHAnsi" w:hAnsiTheme="minorHAnsi"/>
          <w:color w:val="000000"/>
          <w:sz w:val="20"/>
          <w:szCs w:val="20"/>
        </w:rPr>
        <w:t xml:space="preserve">Archívu  </w:t>
      </w:r>
    </w:p>
    <w:p w14:paraId="1DE125FE" w14:textId="77777777" w:rsidR="00DD318F" w:rsidRPr="00D453AA" w:rsidRDefault="00DD318F" w:rsidP="00DD318F">
      <w:pPr>
        <w:ind w:left="360"/>
        <w:jc w:val="both"/>
        <w:rPr>
          <w:rFonts w:asciiTheme="minorHAnsi" w:hAnsiTheme="minorHAnsi"/>
          <w:color w:val="000000"/>
          <w:sz w:val="20"/>
          <w:szCs w:val="20"/>
          <w:lang w:val="sr-Cyrl-RS"/>
        </w:rPr>
      </w:pPr>
    </w:p>
    <w:p w14:paraId="617B3FFD" w14:textId="77777777" w:rsidR="00B64D16" w:rsidRPr="00D453AA" w:rsidRDefault="00B64D16" w:rsidP="00B64D16">
      <w:pPr>
        <w:ind w:left="6732" w:firstLine="348"/>
        <w:jc w:val="both"/>
        <w:rPr>
          <w:rFonts w:asciiTheme="minorHAnsi" w:hAnsiTheme="minorHAnsi"/>
          <w:color w:val="000000"/>
          <w:sz w:val="20"/>
          <w:szCs w:val="20"/>
        </w:rPr>
      </w:pPr>
      <w:r>
        <w:rPr>
          <w:rFonts w:asciiTheme="minorHAnsi" w:hAnsiTheme="minorHAnsi"/>
          <w:color w:val="000000"/>
          <w:sz w:val="20"/>
          <w:szCs w:val="20"/>
        </w:rPr>
        <w:t>POKRAJINSKÝ TAJOMNÍK</w:t>
      </w:r>
    </w:p>
    <w:p w14:paraId="5052A806" w14:textId="77777777" w:rsidR="00B64D16" w:rsidRPr="00D453AA" w:rsidRDefault="00B64D16" w:rsidP="00B64D16">
      <w:pPr>
        <w:ind w:left="360"/>
        <w:jc w:val="both"/>
        <w:rPr>
          <w:rFonts w:asciiTheme="minorHAnsi" w:hAnsiTheme="minorHAnsi"/>
          <w:color w:val="000000"/>
          <w:sz w:val="20"/>
          <w:szCs w:val="20"/>
          <w:lang w:val="sr-Cyrl-RS"/>
        </w:rPr>
      </w:pPr>
    </w:p>
    <w:p w14:paraId="5564031F" w14:textId="77777777" w:rsidR="00F63227" w:rsidRPr="00F63227" w:rsidRDefault="00F63227" w:rsidP="00F63227">
      <w:pPr>
        <w:ind w:left="360"/>
        <w:jc w:val="both"/>
        <w:rPr>
          <w:rFonts w:asciiTheme="minorHAnsi" w:hAnsiTheme="minorHAnsi"/>
          <w:color w:val="000000"/>
          <w:sz w:val="20"/>
          <w:szCs w:val="20"/>
          <w:lang w:val="sr-Cyrl-RS"/>
        </w:rPr>
      </w:pPr>
    </w:p>
    <w:p w14:paraId="78D8A229" w14:textId="77777777" w:rsidR="00F63227" w:rsidRPr="00F63227" w:rsidRDefault="00F63227" w:rsidP="00F63227">
      <w:pPr>
        <w:ind w:left="7080" w:firstLine="708"/>
        <w:jc w:val="both"/>
        <w:rPr>
          <w:rFonts w:asciiTheme="minorHAnsi" w:hAnsiTheme="minorHAnsi"/>
          <w:color w:val="000000"/>
          <w:sz w:val="20"/>
          <w:szCs w:val="20"/>
        </w:rPr>
      </w:pPr>
      <w:r>
        <w:rPr>
          <w:rFonts w:asciiTheme="minorHAnsi" w:hAnsiTheme="minorHAnsi"/>
          <w:color w:val="000000"/>
          <w:sz w:val="20"/>
          <w:szCs w:val="20"/>
        </w:rPr>
        <w:t>Róbert Ótott</w:t>
      </w:r>
    </w:p>
    <w:p w14:paraId="2261D0CD" w14:textId="5BE37852" w:rsidR="00DD318F" w:rsidRPr="003B03BA" w:rsidRDefault="00F63227" w:rsidP="00F63227">
      <w:pPr>
        <w:ind w:left="360"/>
        <w:jc w:val="both"/>
        <w:rPr>
          <w:rFonts w:asciiTheme="minorHAnsi" w:hAnsiTheme="minorHAnsi"/>
          <w:color w:val="000000"/>
          <w:sz w:val="20"/>
          <w:szCs w:val="20"/>
        </w:rPr>
      </w:pPr>
      <w:r>
        <w:rPr>
          <w:rFonts w:asciiTheme="minorHAnsi" w:hAnsiTheme="minorHAnsi"/>
          <w:color w:val="000000"/>
          <w:sz w:val="20"/>
          <w:szCs w:val="20"/>
        </w:rPr>
        <w:t xml:space="preserve">                                                                                                                        </w:t>
      </w:r>
      <w:r>
        <w:rPr>
          <w:rFonts w:asciiTheme="minorHAnsi" w:hAnsiTheme="minorHAnsi"/>
          <w:color w:val="000000"/>
          <w:sz w:val="20"/>
          <w:szCs w:val="20"/>
        </w:rPr>
        <w:tab/>
      </w:r>
      <w:r>
        <w:rPr>
          <w:rFonts w:asciiTheme="minorHAnsi" w:hAnsiTheme="minorHAnsi"/>
          <w:color w:val="000000"/>
          <w:sz w:val="20"/>
          <w:szCs w:val="20"/>
        </w:rPr>
        <w:tab/>
        <w:t xml:space="preserve">         </w:t>
      </w:r>
    </w:p>
    <w:p w14:paraId="1D93FEB9" w14:textId="77777777" w:rsidR="00FE315C" w:rsidRPr="003B03BA" w:rsidRDefault="00FE315C" w:rsidP="00BA171C">
      <w:pPr>
        <w:rPr>
          <w:rFonts w:asciiTheme="minorHAnsi" w:hAnsiTheme="minorHAnsi"/>
          <w:sz w:val="20"/>
          <w:szCs w:val="20"/>
          <w:lang w:val="sr-Latn-RS"/>
        </w:rPr>
      </w:pPr>
    </w:p>
    <w:sectPr w:rsidR="00FE315C" w:rsidRPr="003B03BA" w:rsidSect="00C00B43">
      <w:headerReference w:type="even"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0BC38" w14:textId="77777777" w:rsidR="00567599" w:rsidRDefault="00567599">
      <w:r>
        <w:separator/>
      </w:r>
    </w:p>
  </w:endnote>
  <w:endnote w:type="continuationSeparator" w:id="0">
    <w:p w14:paraId="57836EB5" w14:textId="77777777" w:rsidR="00567599" w:rsidRDefault="0056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38BF5" w14:textId="77777777" w:rsidR="00567599" w:rsidRDefault="00567599">
      <w:r>
        <w:separator/>
      </w:r>
    </w:p>
  </w:footnote>
  <w:footnote w:type="continuationSeparator" w:id="0">
    <w:p w14:paraId="37B6AC74" w14:textId="77777777" w:rsidR="00567599" w:rsidRDefault="00567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7C21" w14:textId="77777777" w:rsidR="0066550D" w:rsidRDefault="000E3C9B" w:rsidP="00FB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C9FCEA" w14:textId="77777777" w:rsidR="0066550D" w:rsidRDefault="00567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09C2"/>
    <w:multiLevelType w:val="hybridMultilevel"/>
    <w:tmpl w:val="6F8CE1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6082269"/>
    <w:multiLevelType w:val="hybridMultilevel"/>
    <w:tmpl w:val="AA32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0NjS3NDGzsDC1MDNW0lEKTi0uzszPAykwrQUAb6iJliwAAAA="/>
  </w:docVars>
  <w:rsids>
    <w:rsidRoot w:val="00DD318F"/>
    <w:rsid w:val="000271A9"/>
    <w:rsid w:val="000408E3"/>
    <w:rsid w:val="0008350E"/>
    <w:rsid w:val="000B2001"/>
    <w:rsid w:val="000C1486"/>
    <w:rsid w:val="000D712D"/>
    <w:rsid w:val="000E3C9B"/>
    <w:rsid w:val="000E4F1B"/>
    <w:rsid w:val="000E6951"/>
    <w:rsid w:val="000F4D5A"/>
    <w:rsid w:val="00152CF3"/>
    <w:rsid w:val="00162392"/>
    <w:rsid w:val="00174A71"/>
    <w:rsid w:val="001E263A"/>
    <w:rsid w:val="0021692A"/>
    <w:rsid w:val="00225198"/>
    <w:rsid w:val="002F1673"/>
    <w:rsid w:val="003007F4"/>
    <w:rsid w:val="0030108F"/>
    <w:rsid w:val="00302A9B"/>
    <w:rsid w:val="00304B81"/>
    <w:rsid w:val="00312910"/>
    <w:rsid w:val="00327EE5"/>
    <w:rsid w:val="003417A1"/>
    <w:rsid w:val="0034772B"/>
    <w:rsid w:val="00355D83"/>
    <w:rsid w:val="00363783"/>
    <w:rsid w:val="003A41D0"/>
    <w:rsid w:val="003B03BA"/>
    <w:rsid w:val="003B25ED"/>
    <w:rsid w:val="00400299"/>
    <w:rsid w:val="004539C9"/>
    <w:rsid w:val="00456DA7"/>
    <w:rsid w:val="00460AC8"/>
    <w:rsid w:val="004745CC"/>
    <w:rsid w:val="004A5E90"/>
    <w:rsid w:val="004E07ED"/>
    <w:rsid w:val="005015A2"/>
    <w:rsid w:val="00522879"/>
    <w:rsid w:val="0053467F"/>
    <w:rsid w:val="00556EA2"/>
    <w:rsid w:val="00567599"/>
    <w:rsid w:val="00571577"/>
    <w:rsid w:val="00575DC4"/>
    <w:rsid w:val="005B240F"/>
    <w:rsid w:val="005D4C4F"/>
    <w:rsid w:val="005F69BB"/>
    <w:rsid w:val="006316B4"/>
    <w:rsid w:val="006432DE"/>
    <w:rsid w:val="006B2564"/>
    <w:rsid w:val="006E4B33"/>
    <w:rsid w:val="0070471A"/>
    <w:rsid w:val="007645CC"/>
    <w:rsid w:val="007659C6"/>
    <w:rsid w:val="007827C2"/>
    <w:rsid w:val="00784A0D"/>
    <w:rsid w:val="007B12C7"/>
    <w:rsid w:val="007C3F13"/>
    <w:rsid w:val="007D14DD"/>
    <w:rsid w:val="007F402B"/>
    <w:rsid w:val="00805661"/>
    <w:rsid w:val="00827447"/>
    <w:rsid w:val="008309C2"/>
    <w:rsid w:val="00836F4D"/>
    <w:rsid w:val="00840407"/>
    <w:rsid w:val="008721FF"/>
    <w:rsid w:val="00875986"/>
    <w:rsid w:val="008764C7"/>
    <w:rsid w:val="008B5BDC"/>
    <w:rsid w:val="008C4023"/>
    <w:rsid w:val="00910D6B"/>
    <w:rsid w:val="009126F8"/>
    <w:rsid w:val="0092378E"/>
    <w:rsid w:val="009709F3"/>
    <w:rsid w:val="009D68BB"/>
    <w:rsid w:val="00A52077"/>
    <w:rsid w:val="00A902A3"/>
    <w:rsid w:val="00A947BD"/>
    <w:rsid w:val="00B01074"/>
    <w:rsid w:val="00B048B1"/>
    <w:rsid w:val="00B20F70"/>
    <w:rsid w:val="00B304C6"/>
    <w:rsid w:val="00B344EF"/>
    <w:rsid w:val="00B379DB"/>
    <w:rsid w:val="00B513FD"/>
    <w:rsid w:val="00B64D16"/>
    <w:rsid w:val="00B653D8"/>
    <w:rsid w:val="00B662BC"/>
    <w:rsid w:val="00B85528"/>
    <w:rsid w:val="00BA171C"/>
    <w:rsid w:val="00BE2D8E"/>
    <w:rsid w:val="00C27E6D"/>
    <w:rsid w:val="00C53080"/>
    <w:rsid w:val="00C77809"/>
    <w:rsid w:val="00C90341"/>
    <w:rsid w:val="00CA03ED"/>
    <w:rsid w:val="00CA09B7"/>
    <w:rsid w:val="00CB0386"/>
    <w:rsid w:val="00CC60EA"/>
    <w:rsid w:val="00D158ED"/>
    <w:rsid w:val="00D217AA"/>
    <w:rsid w:val="00D453AA"/>
    <w:rsid w:val="00D5661D"/>
    <w:rsid w:val="00DA3541"/>
    <w:rsid w:val="00DC1724"/>
    <w:rsid w:val="00DD318F"/>
    <w:rsid w:val="00DD7979"/>
    <w:rsid w:val="00E03CAA"/>
    <w:rsid w:val="00E31EDA"/>
    <w:rsid w:val="00E82498"/>
    <w:rsid w:val="00EC149F"/>
    <w:rsid w:val="00ED1929"/>
    <w:rsid w:val="00EE4749"/>
    <w:rsid w:val="00EE7FC8"/>
    <w:rsid w:val="00EF6137"/>
    <w:rsid w:val="00F20636"/>
    <w:rsid w:val="00F22062"/>
    <w:rsid w:val="00F32408"/>
    <w:rsid w:val="00F63227"/>
    <w:rsid w:val="00F649C5"/>
    <w:rsid w:val="00F66D9C"/>
    <w:rsid w:val="00F80260"/>
    <w:rsid w:val="00F82584"/>
    <w:rsid w:val="00FA3892"/>
    <w:rsid w:val="00FC3668"/>
    <w:rsid w:val="00FD1CB3"/>
    <w:rsid w:val="00FE31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C76B"/>
  <w15:docId w15:val="{E36A31E5-6917-468A-8DEF-78E031B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1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DD318F"/>
    <w:pPr>
      <w:tabs>
        <w:tab w:val="left" w:pos="5423"/>
        <w:tab w:val="left" w:pos="5797"/>
      </w:tabs>
      <w:ind w:left="-374" w:right="-833" w:firstLine="374"/>
      <w:jc w:val="both"/>
    </w:pPr>
  </w:style>
  <w:style w:type="paragraph" w:styleId="BodyTextIndent3">
    <w:name w:val="Body Text Indent 3"/>
    <w:basedOn w:val="Normal"/>
    <w:link w:val="BodyTextIndent3Char"/>
    <w:uiPriority w:val="99"/>
    <w:rsid w:val="00DD318F"/>
    <w:pPr>
      <w:tabs>
        <w:tab w:val="left" w:pos="1260"/>
        <w:tab w:val="left" w:pos="1440"/>
        <w:tab w:val="num" w:pos="1500"/>
      </w:tabs>
      <w:ind w:right="102" w:firstLine="1080"/>
      <w:jc w:val="both"/>
    </w:pPr>
    <w:rPr>
      <w:rFonts w:eastAsia="Calibri"/>
      <w:lang w:eastAsia="ja-JP"/>
    </w:rPr>
  </w:style>
  <w:style w:type="character" w:customStyle="1" w:styleId="BodyTextIndent3Char">
    <w:name w:val="Body Text Indent 3 Char"/>
    <w:basedOn w:val="DefaultParagraphFont"/>
    <w:link w:val="BodyTextIndent3"/>
    <w:uiPriority w:val="99"/>
    <w:rsid w:val="00DD318F"/>
    <w:rPr>
      <w:rFonts w:ascii="Times New Roman" w:eastAsia="Calibri" w:hAnsi="Times New Roman" w:cs="Times New Roman"/>
      <w:sz w:val="24"/>
      <w:szCs w:val="24"/>
      <w:lang w:val="sk-SK" w:eastAsia="ja-JP"/>
    </w:rPr>
  </w:style>
  <w:style w:type="paragraph" w:styleId="Header">
    <w:name w:val="header"/>
    <w:basedOn w:val="Normal"/>
    <w:link w:val="HeaderChar"/>
    <w:uiPriority w:val="99"/>
    <w:rsid w:val="00DD318F"/>
    <w:pPr>
      <w:tabs>
        <w:tab w:val="center" w:pos="4320"/>
        <w:tab w:val="right" w:pos="8640"/>
      </w:tabs>
    </w:pPr>
    <w:rPr>
      <w:rFonts w:eastAsia="Calibri"/>
      <w:lang w:eastAsia="ja-JP"/>
    </w:rPr>
  </w:style>
  <w:style w:type="character" w:customStyle="1" w:styleId="HeaderChar">
    <w:name w:val="Header Char"/>
    <w:basedOn w:val="DefaultParagraphFont"/>
    <w:link w:val="Header"/>
    <w:uiPriority w:val="99"/>
    <w:rsid w:val="00DD318F"/>
    <w:rPr>
      <w:rFonts w:ascii="Times New Roman" w:eastAsia="Calibri" w:hAnsi="Times New Roman" w:cs="Times New Roman"/>
      <w:sz w:val="24"/>
      <w:szCs w:val="24"/>
      <w:lang w:val="sk-SK" w:eastAsia="ja-JP"/>
    </w:rPr>
  </w:style>
  <w:style w:type="character" w:styleId="PageNumber">
    <w:name w:val="page number"/>
    <w:uiPriority w:val="99"/>
    <w:rsid w:val="00DD318F"/>
    <w:rPr>
      <w:rFonts w:cs="Times New Roman"/>
    </w:rPr>
  </w:style>
  <w:style w:type="table" w:styleId="TableGrid">
    <w:name w:val="Table Grid"/>
    <w:basedOn w:val="TableNormal"/>
    <w:uiPriority w:val="39"/>
    <w:rsid w:val="00DD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18F"/>
    <w:rPr>
      <w:rFonts w:ascii="Tahoma" w:hAnsi="Tahoma" w:cs="Tahoma"/>
      <w:sz w:val="16"/>
      <w:szCs w:val="16"/>
    </w:rPr>
  </w:style>
  <w:style w:type="character" w:customStyle="1" w:styleId="BalloonTextChar">
    <w:name w:val="Balloon Text Char"/>
    <w:basedOn w:val="DefaultParagraphFont"/>
    <w:link w:val="BalloonText"/>
    <w:uiPriority w:val="99"/>
    <w:semiHidden/>
    <w:rsid w:val="00DD318F"/>
    <w:rPr>
      <w:rFonts w:ascii="Tahoma" w:eastAsia="Times New Roman" w:hAnsi="Tahoma" w:cs="Tahoma"/>
      <w:sz w:val="16"/>
      <w:szCs w:val="16"/>
      <w:lang w:val="sk-SK"/>
    </w:rPr>
  </w:style>
  <w:style w:type="paragraph" w:styleId="ListParagraph">
    <w:name w:val="List Paragraph"/>
    <w:basedOn w:val="Normal"/>
    <w:uiPriority w:val="34"/>
    <w:qFormat/>
    <w:rsid w:val="009126F8"/>
    <w:pPr>
      <w:ind w:left="720"/>
      <w:contextualSpacing/>
    </w:pPr>
  </w:style>
  <w:style w:type="table" w:customStyle="1" w:styleId="TableGrid1">
    <w:name w:val="Table Grid1"/>
    <w:basedOn w:val="TableNormal"/>
    <w:next w:val="TableGrid"/>
    <w:uiPriority w:val="39"/>
    <w:rsid w:val="005B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5CC"/>
    <w:rPr>
      <w:sz w:val="16"/>
      <w:szCs w:val="16"/>
    </w:rPr>
  </w:style>
  <w:style w:type="paragraph" w:styleId="CommentText">
    <w:name w:val="annotation text"/>
    <w:basedOn w:val="Normal"/>
    <w:link w:val="CommentTextChar"/>
    <w:uiPriority w:val="99"/>
    <w:semiHidden/>
    <w:unhideWhenUsed/>
    <w:rsid w:val="004745CC"/>
    <w:rPr>
      <w:sz w:val="20"/>
      <w:szCs w:val="20"/>
    </w:rPr>
  </w:style>
  <w:style w:type="character" w:customStyle="1" w:styleId="CommentTextChar">
    <w:name w:val="Comment Text Char"/>
    <w:basedOn w:val="DefaultParagraphFont"/>
    <w:link w:val="CommentText"/>
    <w:uiPriority w:val="99"/>
    <w:semiHidden/>
    <w:rsid w:val="004745CC"/>
    <w:rPr>
      <w:rFonts w:ascii="Times New Roman" w:eastAsia="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4745CC"/>
    <w:rPr>
      <w:b/>
      <w:bCs/>
    </w:rPr>
  </w:style>
  <w:style w:type="character" w:customStyle="1" w:styleId="CommentSubjectChar">
    <w:name w:val="Comment Subject Char"/>
    <w:basedOn w:val="CommentTextChar"/>
    <w:link w:val="CommentSubject"/>
    <w:uiPriority w:val="99"/>
    <w:semiHidden/>
    <w:rsid w:val="004745CC"/>
    <w:rPr>
      <w:rFonts w:ascii="Times New Roman" w:eastAsia="Times New Roman" w:hAnsi="Times New Roman"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7499">
      <w:bodyDiv w:val="1"/>
      <w:marLeft w:val="0"/>
      <w:marRight w:val="0"/>
      <w:marTop w:val="0"/>
      <w:marBottom w:val="0"/>
      <w:divBdr>
        <w:top w:val="none" w:sz="0" w:space="0" w:color="auto"/>
        <w:left w:val="none" w:sz="0" w:space="0" w:color="auto"/>
        <w:bottom w:val="none" w:sz="0" w:space="0" w:color="auto"/>
        <w:right w:val="none" w:sz="0" w:space="0" w:color="auto"/>
      </w:divBdr>
    </w:div>
    <w:div w:id="512693261">
      <w:bodyDiv w:val="1"/>
      <w:marLeft w:val="0"/>
      <w:marRight w:val="0"/>
      <w:marTop w:val="0"/>
      <w:marBottom w:val="0"/>
      <w:divBdr>
        <w:top w:val="none" w:sz="0" w:space="0" w:color="auto"/>
        <w:left w:val="none" w:sz="0" w:space="0" w:color="auto"/>
        <w:bottom w:val="none" w:sz="0" w:space="0" w:color="auto"/>
        <w:right w:val="none" w:sz="0" w:space="0" w:color="auto"/>
      </w:divBdr>
    </w:div>
    <w:div w:id="1549680271">
      <w:bodyDiv w:val="1"/>
      <w:marLeft w:val="0"/>
      <w:marRight w:val="0"/>
      <w:marTop w:val="0"/>
      <w:marBottom w:val="0"/>
      <w:divBdr>
        <w:top w:val="none" w:sz="0" w:space="0" w:color="auto"/>
        <w:left w:val="none" w:sz="0" w:space="0" w:color="auto"/>
        <w:bottom w:val="none" w:sz="0" w:space="0" w:color="auto"/>
        <w:right w:val="none" w:sz="0" w:space="0" w:color="auto"/>
      </w:divBdr>
    </w:div>
    <w:div w:id="1791045108">
      <w:bodyDiv w:val="1"/>
      <w:marLeft w:val="0"/>
      <w:marRight w:val="0"/>
      <w:marTop w:val="0"/>
      <w:marBottom w:val="0"/>
      <w:divBdr>
        <w:top w:val="none" w:sz="0" w:space="0" w:color="auto"/>
        <w:left w:val="none" w:sz="0" w:space="0" w:color="auto"/>
        <w:bottom w:val="none" w:sz="0" w:space="0" w:color="auto"/>
        <w:right w:val="none" w:sz="0" w:space="0" w:color="auto"/>
      </w:divBdr>
    </w:div>
    <w:div w:id="184609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nz@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F99B6-3818-4FE5-A946-3DB46D7F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Mladjenovic</dc:creator>
  <cp:lastModifiedBy>Zdenka Valent</cp:lastModifiedBy>
  <cp:revision>20</cp:revision>
  <cp:lastPrinted>2023-04-19T06:38:00Z</cp:lastPrinted>
  <dcterms:created xsi:type="dcterms:W3CDTF">2024-04-04T09:44:00Z</dcterms:created>
  <dcterms:modified xsi:type="dcterms:W3CDTF">2025-03-24T09:10:00Z</dcterms:modified>
</cp:coreProperties>
</file>