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61" w:rsidRPr="00A92527" w:rsidRDefault="00077BF8" w:rsidP="008E6E7F">
      <w:pPr>
        <w:jc w:val="both"/>
        <w:rPr>
          <w:rFonts w:eastAsia="Times New Roman"/>
          <w:sz w:val="20"/>
          <w:szCs w:val="20"/>
        </w:rPr>
      </w:pPr>
      <w:r>
        <w:rPr>
          <w:sz w:val="20"/>
          <w:szCs w:val="20"/>
        </w:rPr>
        <w:t>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 nr. 14/15 și 10/17) şi art. 15,16 și art. 24, alineatul 2, din Hotărârea Adunării Provinciei privind administraţia provincială ("Buletinul oficial al P.A.V, nr. 37/14, 54/14 - altă hotărâre, 37/16, 29/2017, 24/2019, 66/2020, 38/21,  22/25), secretarul provincial pentru educaţie, reglementări, administraţie şi minorităţile naţionale - comunităţile naţionale    e m i t e</w:t>
      </w:r>
    </w:p>
    <w:p w:rsidR="009E6661" w:rsidRPr="00A92527" w:rsidRDefault="009E6661" w:rsidP="008E6E7F">
      <w:pPr>
        <w:pStyle w:val="BodyText"/>
        <w:spacing w:before="10"/>
        <w:jc w:val="both"/>
        <w:rPr>
          <w:sz w:val="20"/>
          <w:szCs w:val="20"/>
        </w:rPr>
      </w:pPr>
    </w:p>
    <w:p w:rsidR="009E6661" w:rsidRPr="00A92527" w:rsidRDefault="00077BF8" w:rsidP="00935AB9">
      <w:pPr>
        <w:widowControl/>
        <w:autoSpaceDE/>
        <w:autoSpaceDN/>
        <w:jc w:val="center"/>
        <w:rPr>
          <w:rFonts w:eastAsia="Times New Roman"/>
          <w:b/>
          <w:bCs/>
          <w:sz w:val="20"/>
          <w:szCs w:val="20"/>
        </w:rPr>
      </w:pPr>
      <w:r>
        <w:rPr>
          <w:b/>
          <w:bCs/>
          <w:sz w:val="20"/>
          <w:szCs w:val="20"/>
        </w:rPr>
        <w:t>REGULAMENTUL</w:t>
      </w:r>
    </w:p>
    <w:p w:rsidR="009E6661" w:rsidRPr="00A92527" w:rsidRDefault="00077BF8" w:rsidP="00935AB9">
      <w:pPr>
        <w:widowControl/>
        <w:autoSpaceDE/>
        <w:autoSpaceDN/>
        <w:jc w:val="center"/>
        <w:rPr>
          <w:rFonts w:eastAsia="Times New Roman"/>
          <w:b/>
          <w:bCs/>
          <w:sz w:val="20"/>
          <w:szCs w:val="20"/>
        </w:rPr>
      </w:pPr>
      <w:r>
        <w:rPr>
          <w:b/>
          <w:bCs/>
          <w:sz w:val="20"/>
          <w:szCs w:val="20"/>
        </w:rPr>
        <w:t>PRIVIND REPARTIZAREA MIJLOACELOR BUGETARE ALE SECRETARIATULUI PROVINCIAL PENTRU EDUCAŢIE, REGLEMENTĂRI, ADMINISTRAŢIE ŞI MINORITĂŢILE NAŢIONALE - COMUNITĂŢILE NAŢIONALE PENTRU FINANŢAREA ŞI COFINANŢAREA MODERNIZĂRII INFRASTRUCTURII - ACHIZIŢIA DE ECHIPAMENT PENTRU INSTITUŢIILE DE INSTRUCŢIE ŞI EDUCAŢIE ELEMENTARĂ ȘI MEDIE DE PE TERITORIUL PROVINCIEI AUTON</w:t>
      </w:r>
      <w:r w:rsidR="00B82D14">
        <w:rPr>
          <w:b/>
          <w:bCs/>
          <w:sz w:val="20"/>
          <w:szCs w:val="20"/>
        </w:rPr>
        <w:t xml:space="preserve">OME VOIVODINA PENTRU ANUL 2025 </w:t>
      </w:r>
      <w:bookmarkStart w:id="0" w:name="_GoBack"/>
      <w:bookmarkEnd w:id="0"/>
    </w:p>
    <w:p w:rsidR="009E6661" w:rsidRPr="00A92527" w:rsidRDefault="009E6661">
      <w:pPr>
        <w:pStyle w:val="BodyText"/>
        <w:spacing w:before="7"/>
        <w:rPr>
          <w:b/>
          <w:sz w:val="20"/>
          <w:szCs w:val="20"/>
        </w:rPr>
      </w:pPr>
    </w:p>
    <w:p w:rsidR="00EE0144" w:rsidRPr="00A92527" w:rsidRDefault="00EE0144">
      <w:pPr>
        <w:pStyle w:val="BodyText"/>
        <w:ind w:left="216" w:right="196"/>
        <w:jc w:val="center"/>
        <w:rPr>
          <w:rFonts w:eastAsia="Times New Roman"/>
          <w:b/>
          <w:sz w:val="20"/>
          <w:szCs w:val="20"/>
        </w:rPr>
      </w:pPr>
      <w:r>
        <w:rPr>
          <w:b/>
          <w:sz w:val="20"/>
          <w:szCs w:val="20"/>
        </w:rPr>
        <w:t>Dispoziții generale</w:t>
      </w:r>
    </w:p>
    <w:p w:rsidR="009E6661" w:rsidRPr="00A92527" w:rsidRDefault="00077BF8">
      <w:pPr>
        <w:pStyle w:val="BodyText"/>
        <w:ind w:left="216" w:right="196"/>
        <w:jc w:val="center"/>
        <w:rPr>
          <w:rFonts w:eastAsia="Times New Roman"/>
          <w:sz w:val="20"/>
          <w:szCs w:val="20"/>
        </w:rPr>
      </w:pPr>
      <w:r>
        <w:rPr>
          <w:sz w:val="20"/>
          <w:szCs w:val="20"/>
        </w:rPr>
        <w:t>Articolul 1</w:t>
      </w:r>
    </w:p>
    <w:p w:rsidR="009E6661" w:rsidRPr="00A92527" w:rsidRDefault="009E6661">
      <w:pPr>
        <w:pStyle w:val="BodyText"/>
        <w:rPr>
          <w:rFonts w:eastAsia="Times New Roman"/>
          <w:sz w:val="20"/>
          <w:szCs w:val="20"/>
        </w:rPr>
      </w:pPr>
    </w:p>
    <w:p w:rsidR="009E6661" w:rsidRPr="00A92527" w:rsidRDefault="00077BF8">
      <w:pPr>
        <w:pStyle w:val="BodyText"/>
        <w:spacing w:line="232" w:lineRule="auto"/>
        <w:ind w:left="123" w:right="118" w:firstLine="406"/>
        <w:jc w:val="both"/>
        <w:rPr>
          <w:rFonts w:eastAsia="Times New Roman"/>
          <w:sz w:val="20"/>
          <w:szCs w:val="20"/>
        </w:rPr>
      </w:pPr>
      <w:r>
        <w:rPr>
          <w:sz w:val="20"/>
          <w:szCs w:val="20"/>
        </w:rPr>
        <w:t>Prin prezentul regulament se stipulează modul, condiţiile şi criteriile pentru repartizarea mijloacelor bugetare (în continuare: mijloacele) pentru finanţarea şi cofinanţarea achiziţiei de echipament pentru instituţiile de educaţie şi instrucţie elementară şi medie de pe teritoriul Provinciei Autonome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Provincial).</w:t>
      </w:r>
    </w:p>
    <w:p w:rsidR="009F24FC" w:rsidRPr="00A92527" w:rsidRDefault="009F24FC" w:rsidP="007C6B91">
      <w:pPr>
        <w:ind w:right="120" w:firstLine="529"/>
        <w:jc w:val="both"/>
        <w:rPr>
          <w:rFonts w:eastAsia="Times New Roman"/>
          <w:sz w:val="20"/>
          <w:szCs w:val="20"/>
        </w:rPr>
      </w:pPr>
    </w:p>
    <w:p w:rsidR="007C6B91" w:rsidRPr="00A92527" w:rsidRDefault="007C6B91" w:rsidP="007C6B91">
      <w:pPr>
        <w:ind w:right="120" w:firstLine="529"/>
        <w:jc w:val="both"/>
        <w:rPr>
          <w:rFonts w:eastAsia="Times New Roman"/>
          <w:sz w:val="20"/>
          <w:szCs w:val="20"/>
        </w:rPr>
      </w:pPr>
      <w:r>
        <w:rPr>
          <w:sz w:val="20"/>
          <w:szCs w:val="20"/>
        </w:rPr>
        <w:t>Termenii care se folosesc în prezentul regulament la genul gramatical masculin, subînţeleg genul natural masculin și feminin al persoanei la care se referă.''</w:t>
      </w:r>
    </w:p>
    <w:p w:rsidR="007C6B91" w:rsidRPr="00A92527" w:rsidRDefault="007C6B91">
      <w:pPr>
        <w:pStyle w:val="BodyText"/>
        <w:spacing w:line="232" w:lineRule="auto"/>
        <w:ind w:left="123" w:right="118" w:firstLine="406"/>
        <w:jc w:val="both"/>
        <w:rPr>
          <w:rFonts w:eastAsia="Times New Roman"/>
          <w:sz w:val="20"/>
          <w:szCs w:val="20"/>
        </w:rPr>
      </w:pPr>
    </w:p>
    <w:p w:rsidR="00EE0144" w:rsidRPr="00A92527" w:rsidRDefault="00FC54EA" w:rsidP="00FC54EA">
      <w:pPr>
        <w:pStyle w:val="BodyText"/>
        <w:spacing w:line="232" w:lineRule="auto"/>
        <w:ind w:left="123" w:right="118" w:firstLine="406"/>
        <w:jc w:val="center"/>
        <w:rPr>
          <w:rFonts w:eastAsia="Times New Roman"/>
          <w:b/>
          <w:sz w:val="20"/>
          <w:szCs w:val="20"/>
        </w:rPr>
      </w:pPr>
      <w:r>
        <w:rPr>
          <w:b/>
          <w:sz w:val="20"/>
          <w:szCs w:val="20"/>
        </w:rPr>
        <w:t>Nivelul şi modul de acordare a mijloacelor</w:t>
      </w:r>
    </w:p>
    <w:p w:rsidR="00FC54EA" w:rsidRPr="00A92527" w:rsidRDefault="00FC54EA" w:rsidP="00FC54EA">
      <w:pPr>
        <w:pStyle w:val="BodyText"/>
        <w:spacing w:line="232" w:lineRule="auto"/>
        <w:ind w:left="123" w:right="118" w:firstLine="406"/>
        <w:jc w:val="center"/>
        <w:rPr>
          <w:rFonts w:eastAsia="Times New Roman"/>
          <w:sz w:val="20"/>
          <w:szCs w:val="20"/>
        </w:rPr>
      </w:pPr>
      <w:r>
        <w:rPr>
          <w:sz w:val="20"/>
          <w:szCs w:val="20"/>
        </w:rPr>
        <w:t>Articolul 2</w:t>
      </w:r>
    </w:p>
    <w:p w:rsidR="00FC54EA" w:rsidRPr="00A92527" w:rsidRDefault="00FC54EA" w:rsidP="00FC54EA">
      <w:pPr>
        <w:pStyle w:val="BodyText"/>
        <w:spacing w:line="232" w:lineRule="auto"/>
        <w:ind w:left="123" w:right="118" w:firstLine="406"/>
        <w:jc w:val="center"/>
        <w:rPr>
          <w:rFonts w:eastAsia="Times New Roman"/>
          <w:sz w:val="20"/>
          <w:szCs w:val="20"/>
        </w:rPr>
      </w:pPr>
    </w:p>
    <w:p w:rsidR="00FC54EA" w:rsidRPr="00A92527" w:rsidRDefault="00F35DEE" w:rsidP="00FC54EA">
      <w:pPr>
        <w:widowControl/>
        <w:tabs>
          <w:tab w:val="left" w:pos="0"/>
        </w:tabs>
        <w:autoSpaceDE/>
        <w:autoSpaceDN/>
        <w:ind w:firstLineChars="359" w:firstLine="718"/>
        <w:jc w:val="both"/>
        <w:rPr>
          <w:rFonts w:eastAsia="Times New Roman"/>
          <w:sz w:val="20"/>
          <w:szCs w:val="20"/>
        </w:rPr>
      </w:pPr>
      <w:r>
        <w:rPr>
          <w:sz w:val="20"/>
          <w:szCs w:val="20"/>
        </w:rPr>
        <w:t xml:space="preserve">Pentru achiziția de echipament este prevăzută suma de </w:t>
      </w:r>
      <w:r>
        <w:rPr>
          <w:b/>
          <w:sz w:val="20"/>
          <w:szCs w:val="20"/>
        </w:rPr>
        <w:t>30.000.000,00</w:t>
      </w:r>
      <w:r>
        <w:rPr>
          <w:sz w:val="20"/>
          <w:szCs w:val="20"/>
        </w:rPr>
        <w:t xml:space="preserve"> dinari şi anume, pentru instituțiile învățământului elementar 20.000.000,00 dinari și pentru instituțiile învățământului mediu 10.000.000,00 dinari.  </w:t>
      </w:r>
    </w:p>
    <w:p w:rsidR="00B028EF" w:rsidRPr="00A92527" w:rsidRDefault="00FC54EA" w:rsidP="00B028EF">
      <w:pPr>
        <w:ind w:firstLine="567"/>
        <w:jc w:val="both"/>
        <w:rPr>
          <w:rFonts w:asciiTheme="minorHAnsi" w:eastAsia="Times New Roman" w:hAnsiTheme="minorHAnsi" w:cstheme="minorHAnsi"/>
          <w:noProof/>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în care a fost publicat concursul se publică cel puțin într-unul din cotidianele care se distribuie pe întregul teritoriu al Republicii Serbia.</w:t>
      </w:r>
    </w:p>
    <w:p w:rsidR="00B028EF" w:rsidRPr="00A92527" w:rsidRDefault="00B028EF" w:rsidP="00B028EF">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în care este publicat concursul, pot fi publicate și în limbile minorităților naționale - comunităților naționale, care sunt în uz oficial în activitatea organelor Provinciei Autonome Voivodina. </w:t>
      </w:r>
    </w:p>
    <w:p w:rsidR="00FC54EA" w:rsidRPr="00A92527" w:rsidRDefault="00FC54EA" w:rsidP="00B028EF">
      <w:pPr>
        <w:pStyle w:val="BodyText"/>
        <w:spacing w:line="228" w:lineRule="auto"/>
        <w:ind w:left="113" w:right="118" w:firstLine="355"/>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rsidR="00FC54EA" w:rsidRDefault="00FC54EA" w:rsidP="000360F1">
      <w:pPr>
        <w:widowControl/>
        <w:tabs>
          <w:tab w:val="left" w:pos="0"/>
        </w:tabs>
        <w:autoSpaceDE/>
        <w:autoSpaceDN/>
        <w:ind w:firstLineChars="359" w:firstLine="718"/>
        <w:jc w:val="both"/>
        <w:rPr>
          <w:rFonts w:eastAsia="Times New Roman"/>
          <w:sz w:val="20"/>
          <w:szCs w:val="20"/>
        </w:rPr>
      </w:pPr>
      <w:r>
        <w:rPr>
          <w:sz w:val="20"/>
          <w:szCs w:val="20"/>
        </w:rPr>
        <w:t xml:space="preserve">Documentaţia prezentată la concurs nu se restituie. </w:t>
      </w:r>
    </w:p>
    <w:p w:rsidR="00BD0F91" w:rsidRPr="00A92527" w:rsidRDefault="00BD0F91" w:rsidP="000360F1">
      <w:pPr>
        <w:widowControl/>
        <w:tabs>
          <w:tab w:val="left" w:pos="0"/>
        </w:tabs>
        <w:autoSpaceDE/>
        <w:autoSpaceDN/>
        <w:ind w:firstLineChars="359" w:firstLine="718"/>
        <w:jc w:val="both"/>
        <w:rPr>
          <w:rFonts w:eastAsia="Times New Roman"/>
          <w:sz w:val="20"/>
          <w:szCs w:val="20"/>
        </w:rPr>
      </w:pPr>
    </w:p>
    <w:p w:rsidR="00B77056" w:rsidRPr="00A92527" w:rsidRDefault="00B77056" w:rsidP="00E97652">
      <w:pPr>
        <w:pStyle w:val="BodyText"/>
        <w:ind w:right="196"/>
        <w:rPr>
          <w:rFonts w:eastAsia="Times New Roman"/>
          <w:b/>
          <w:sz w:val="20"/>
          <w:szCs w:val="20"/>
        </w:rPr>
      </w:pPr>
    </w:p>
    <w:p w:rsidR="00EE0144" w:rsidRPr="00A92527" w:rsidRDefault="00EE0144" w:rsidP="00EE0144">
      <w:pPr>
        <w:pStyle w:val="BodyText"/>
        <w:ind w:left="216" w:right="196"/>
        <w:jc w:val="center"/>
        <w:rPr>
          <w:rFonts w:eastAsia="Times New Roman"/>
          <w:b/>
          <w:sz w:val="20"/>
          <w:szCs w:val="20"/>
        </w:rPr>
      </w:pPr>
      <w:r>
        <w:rPr>
          <w:b/>
          <w:sz w:val="20"/>
          <w:szCs w:val="20"/>
        </w:rPr>
        <w:t>Drept la acordarea mijloacelor</w:t>
      </w:r>
    </w:p>
    <w:p w:rsidR="00EE0144" w:rsidRPr="00A92527" w:rsidRDefault="00EE0144" w:rsidP="00EE0144">
      <w:pPr>
        <w:pStyle w:val="BodyText"/>
        <w:ind w:left="216" w:right="196"/>
        <w:jc w:val="center"/>
        <w:rPr>
          <w:rFonts w:eastAsia="Times New Roman"/>
          <w:sz w:val="20"/>
          <w:szCs w:val="20"/>
        </w:rPr>
      </w:pPr>
      <w:r>
        <w:rPr>
          <w:sz w:val="20"/>
          <w:szCs w:val="20"/>
        </w:rPr>
        <w:t>Articolul 3</w:t>
      </w:r>
    </w:p>
    <w:p w:rsidR="00EE0144" w:rsidRPr="00A92527" w:rsidRDefault="00EE0144" w:rsidP="00EE0144">
      <w:pPr>
        <w:pStyle w:val="BodyText"/>
        <w:spacing w:before="9"/>
        <w:rPr>
          <w:sz w:val="20"/>
          <w:szCs w:val="20"/>
        </w:rPr>
      </w:pPr>
    </w:p>
    <w:p w:rsidR="009E6661" w:rsidRDefault="00B77056" w:rsidP="00BD0F91">
      <w:pPr>
        <w:spacing w:after="100" w:afterAutospacing="1"/>
        <w:ind w:firstLine="720"/>
        <w:jc w:val="both"/>
        <w:rPr>
          <w:noProof/>
          <w:sz w:val="20"/>
          <w:szCs w:val="20"/>
        </w:rPr>
      </w:pPr>
      <w:r>
        <w:rPr>
          <w:sz w:val="20"/>
          <w:szCs w:val="20"/>
        </w:rPr>
        <w:t xml:space="preserve">Drept la acordarea mijloacelor au instituţiile de instrucţie şi şi educaţie elementară și medie din teritoriul P.A. Voivodina, al căror fondator este Republica Serbia, Provincia Autonomă sau unitatea autoguvernării locale (în continuare: beneficiarii). </w:t>
      </w:r>
    </w:p>
    <w:p w:rsidR="00BD0F91" w:rsidRDefault="00BD0F91" w:rsidP="00BD0F91">
      <w:pPr>
        <w:spacing w:after="100" w:afterAutospacing="1"/>
        <w:ind w:firstLine="720"/>
        <w:jc w:val="both"/>
        <w:rPr>
          <w:noProof/>
          <w:sz w:val="20"/>
          <w:szCs w:val="20"/>
          <w:lang w:val="sr-Cyrl-CS" w:eastAsia="en-GB"/>
        </w:rPr>
      </w:pPr>
    </w:p>
    <w:p w:rsidR="00BD0F91" w:rsidRDefault="00BD0F91" w:rsidP="00BD0F91">
      <w:pPr>
        <w:spacing w:after="100" w:afterAutospacing="1"/>
        <w:ind w:firstLine="720"/>
        <w:jc w:val="both"/>
        <w:rPr>
          <w:noProof/>
          <w:sz w:val="20"/>
          <w:szCs w:val="20"/>
          <w:lang w:val="sr-Cyrl-CS" w:eastAsia="en-GB"/>
        </w:rPr>
      </w:pPr>
    </w:p>
    <w:p w:rsidR="000B2ACF" w:rsidRDefault="000B2ACF" w:rsidP="00EE0144">
      <w:pPr>
        <w:pStyle w:val="BodyText"/>
        <w:spacing w:line="230" w:lineRule="auto"/>
        <w:ind w:left="113" w:right="118" w:firstLine="355"/>
        <w:jc w:val="center"/>
        <w:rPr>
          <w:rFonts w:eastAsia="Times New Roman"/>
          <w:b/>
          <w:sz w:val="20"/>
          <w:szCs w:val="20"/>
        </w:rPr>
      </w:pPr>
    </w:p>
    <w:p w:rsidR="00EE0144" w:rsidRPr="00A92527" w:rsidRDefault="00EE0144" w:rsidP="00EE0144">
      <w:pPr>
        <w:pStyle w:val="BodyText"/>
        <w:spacing w:line="230" w:lineRule="auto"/>
        <w:ind w:left="113" w:right="118" w:firstLine="355"/>
        <w:jc w:val="center"/>
        <w:rPr>
          <w:rFonts w:eastAsia="Times New Roman"/>
          <w:b/>
          <w:sz w:val="20"/>
          <w:szCs w:val="20"/>
        </w:rPr>
      </w:pPr>
      <w:r>
        <w:rPr>
          <w:b/>
          <w:sz w:val="20"/>
          <w:szCs w:val="20"/>
        </w:rPr>
        <w:t>Prezentarea cererilor la concurs</w:t>
      </w:r>
    </w:p>
    <w:p w:rsidR="00EE0144" w:rsidRPr="00A92527" w:rsidRDefault="00EE0144" w:rsidP="00EE0144">
      <w:pPr>
        <w:pStyle w:val="BodyText"/>
        <w:spacing w:line="230" w:lineRule="auto"/>
        <w:ind w:left="113" w:right="118" w:firstLine="355"/>
        <w:jc w:val="center"/>
        <w:rPr>
          <w:rFonts w:eastAsia="Times New Roman"/>
          <w:sz w:val="20"/>
          <w:szCs w:val="20"/>
        </w:rPr>
      </w:pPr>
      <w:r>
        <w:rPr>
          <w:sz w:val="20"/>
          <w:szCs w:val="20"/>
        </w:rPr>
        <w:t>Articolul 4</w:t>
      </w:r>
    </w:p>
    <w:p w:rsidR="001A663B" w:rsidRPr="00A92527" w:rsidRDefault="001A663B" w:rsidP="00EE0144">
      <w:pPr>
        <w:pStyle w:val="BodyText"/>
        <w:spacing w:line="230" w:lineRule="auto"/>
        <w:ind w:left="113" w:right="118" w:firstLine="355"/>
        <w:jc w:val="center"/>
        <w:rPr>
          <w:rFonts w:eastAsia="Times New Roman"/>
          <w:sz w:val="20"/>
          <w:szCs w:val="20"/>
        </w:rPr>
      </w:pPr>
    </w:p>
    <w:p w:rsidR="00B94B6F" w:rsidRPr="00A92527" w:rsidRDefault="00B94B6F" w:rsidP="00B94B6F">
      <w:pPr>
        <w:shd w:val="clear" w:color="auto" w:fill="FFFFFF"/>
        <w:ind w:firstLine="284"/>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15 zile de la data publicării concursului.</w:t>
      </w:r>
    </w:p>
    <w:p w:rsidR="00B94B6F" w:rsidRPr="00A92527" w:rsidRDefault="00B94B6F" w:rsidP="00B94B6F">
      <w:pPr>
        <w:ind w:firstLine="142"/>
        <w:jc w:val="both"/>
        <w:rPr>
          <w:rFonts w:eastAsia="Times New Roman"/>
          <w:sz w:val="20"/>
          <w:szCs w:val="20"/>
        </w:rPr>
      </w:pPr>
      <w:r>
        <w:rPr>
          <w:sz w:val="20"/>
          <w:szCs w:val="20"/>
        </w:rPr>
        <w:t>Numărul de cereri pe care le poate prezenta semnatarul cererii nu este limitat, cu excepția cazului dacă în concurs este stabilit altfel.</w:t>
      </w:r>
    </w:p>
    <w:p w:rsidR="009E6661" w:rsidRPr="00A92527" w:rsidRDefault="000D4163" w:rsidP="000D4163">
      <w:pPr>
        <w:pStyle w:val="BodyText"/>
        <w:spacing w:line="230" w:lineRule="auto"/>
        <w:ind w:left="113" w:right="118"/>
        <w:jc w:val="both"/>
        <w:rPr>
          <w:rFonts w:eastAsia="Times New Roman"/>
          <w:sz w:val="20"/>
          <w:szCs w:val="20"/>
        </w:rPr>
      </w:pPr>
      <w:r>
        <w:rPr>
          <w:sz w:val="20"/>
          <w:szCs w:val="20"/>
        </w:rPr>
        <w:t xml:space="preserve">  Secretariatul Provincial va stabili în concurs documentaţia care se prezintă anexată cererii la concurs.</w:t>
      </w:r>
    </w:p>
    <w:p w:rsidR="002B256C" w:rsidRPr="00A92527" w:rsidRDefault="000D4163" w:rsidP="000D4163">
      <w:pPr>
        <w:jc w:val="both"/>
        <w:rPr>
          <w:rFonts w:eastAsia="Times New Roman"/>
          <w:noProof/>
          <w:sz w:val="20"/>
          <w:szCs w:val="20"/>
        </w:rPr>
      </w:pPr>
      <w:r>
        <w:rPr>
          <w:sz w:val="20"/>
          <w:szCs w:val="20"/>
        </w:rPr>
        <w:t xml:space="preserve">      Secretariatul își rezervă dreptul de a-i solicita semntarului cererii, după necesitate, documentație și informații suplimentare, și dacă în termen de 8 zile, semnatarul cererii nu trimite documentația care lipsește, Secretariatul va considera cererea drept incompletă.</w:t>
      </w:r>
    </w:p>
    <w:p w:rsidR="00C925E8" w:rsidRPr="00A92527" w:rsidRDefault="00C925E8" w:rsidP="00C925E8">
      <w:pPr>
        <w:ind w:firstLine="567"/>
        <w:jc w:val="both"/>
        <w:rPr>
          <w:rFonts w:asciiTheme="minorHAnsi" w:hAnsiTheme="minorHAnsi" w:cstheme="minorHAnsi"/>
          <w:noProof/>
          <w:sz w:val="20"/>
          <w:szCs w:val="20"/>
        </w:rPr>
      </w:pPr>
      <w:r>
        <w:rPr>
          <w:rFonts w:asciiTheme="minorHAnsi" w:hAnsiTheme="minorHAnsi"/>
          <w:sz w:val="20"/>
          <w:szCs w:val="20"/>
        </w:rPr>
        <w:t>Concursul este deschis între 01 august și 25 august 2025</w:t>
      </w:r>
    </w:p>
    <w:p w:rsidR="006E728C" w:rsidRPr="00A92527" w:rsidRDefault="006E728C" w:rsidP="00AB666A">
      <w:pPr>
        <w:pStyle w:val="BodyText"/>
        <w:spacing w:line="230" w:lineRule="auto"/>
        <w:ind w:right="118"/>
        <w:jc w:val="both"/>
        <w:rPr>
          <w:rFonts w:eastAsia="Times New Roman"/>
          <w:sz w:val="20"/>
          <w:szCs w:val="20"/>
        </w:rPr>
      </w:pPr>
    </w:p>
    <w:p w:rsidR="00EE0144" w:rsidRPr="00A92527" w:rsidRDefault="00EE0144" w:rsidP="006E728C">
      <w:pPr>
        <w:pStyle w:val="BodyText"/>
        <w:ind w:left="216" w:right="196"/>
        <w:jc w:val="center"/>
        <w:rPr>
          <w:rFonts w:eastAsia="Times New Roman"/>
          <w:b/>
          <w:sz w:val="20"/>
          <w:szCs w:val="20"/>
        </w:rPr>
      </w:pPr>
      <w:r>
        <w:rPr>
          <w:b/>
          <w:sz w:val="20"/>
          <w:szCs w:val="20"/>
        </w:rPr>
        <w:t>Comisia pentru desfăşurarea concursului</w:t>
      </w:r>
    </w:p>
    <w:p w:rsidR="009E6661" w:rsidRPr="00A92527" w:rsidRDefault="00077BF8" w:rsidP="006E728C">
      <w:pPr>
        <w:pStyle w:val="BodyText"/>
        <w:ind w:left="216" w:right="196"/>
        <w:jc w:val="center"/>
        <w:rPr>
          <w:rFonts w:eastAsia="Times New Roman"/>
          <w:sz w:val="20"/>
          <w:szCs w:val="20"/>
        </w:rPr>
      </w:pPr>
      <w:r>
        <w:rPr>
          <w:sz w:val="20"/>
          <w:szCs w:val="20"/>
        </w:rPr>
        <w:t>Articolul 5</w:t>
      </w:r>
    </w:p>
    <w:p w:rsidR="006E728C" w:rsidRPr="00A92527" w:rsidRDefault="006E728C" w:rsidP="006E728C">
      <w:pPr>
        <w:pStyle w:val="BodyText"/>
        <w:ind w:left="216" w:right="196"/>
        <w:jc w:val="center"/>
        <w:rPr>
          <w:rFonts w:eastAsia="Times New Roman"/>
          <w:sz w:val="20"/>
          <w:szCs w:val="20"/>
        </w:rPr>
      </w:pPr>
    </w:p>
    <w:p w:rsidR="00B028EF" w:rsidRPr="00A92527" w:rsidRDefault="00077BF8" w:rsidP="00F337F1">
      <w:pPr>
        <w:pStyle w:val="BodyText"/>
        <w:spacing w:before="10"/>
        <w:ind w:firstLine="450"/>
        <w:jc w:val="both"/>
        <w:rPr>
          <w:sz w:val="20"/>
          <w:szCs w:val="20"/>
        </w:rPr>
      </w:pPr>
      <w:r>
        <w:rPr>
          <w:sz w:val="20"/>
          <w:szCs w:val="20"/>
        </w:rPr>
        <w:t>Secretarul provincial competent pentru activităţile din domeniul educaţiei (în continuare: secretarul provincial) înfiinţează Comisia pentru desfăşurarea concursului.</w:t>
      </w:r>
    </w:p>
    <w:p w:rsidR="00F337F1" w:rsidRPr="00A92527" w:rsidRDefault="00077BF8" w:rsidP="00B028EF">
      <w:pPr>
        <w:pStyle w:val="BodyText"/>
        <w:spacing w:before="10"/>
        <w:ind w:firstLine="450"/>
        <w:jc w:val="both"/>
        <w:rPr>
          <w:rFonts w:asciiTheme="minorHAnsi" w:eastAsia="Times New Roman" w:hAnsiTheme="minorHAnsi" w:cstheme="minorHAnsi"/>
          <w:noProof/>
          <w:sz w:val="20"/>
          <w:szCs w:val="20"/>
        </w:rPr>
      </w:pPr>
      <w:r>
        <w:rPr>
          <w:sz w:val="20"/>
          <w:szCs w:val="20"/>
        </w:rPr>
        <w:t xml:space="preserve"> </w:t>
      </w: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rsidR="00F337F1" w:rsidRPr="00A92527" w:rsidRDefault="00473CA2" w:rsidP="00894F1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rsidR="00F337F1" w:rsidRPr="00A92527" w:rsidRDefault="00473CA2" w:rsidP="00894F1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o declarație înainte de a întreprinde prima acțiune legată de concurs. </w:t>
      </w:r>
    </w:p>
    <w:p w:rsidR="00F337F1" w:rsidRPr="00A92527" w:rsidRDefault="00473CA2" w:rsidP="00894F1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În cazul în care află că este în conflict de interese, membrul comisiei este obligat să informeze imediat cu privire la acest fapt ceilalți membri ai Comisiei și să fie exceptat din activitatea Comisiei în continuare. Secretariatul decide asupra soluționării conflictului de interese în fiecare caz aparte, iar atunci când stabilește conflictul de interese, va numi un nou membru în comisie ca înlocuitor.</w:t>
      </w:r>
    </w:p>
    <w:p w:rsidR="0016435F" w:rsidRPr="00A92527"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hAnsiTheme="minorHAnsi"/>
          <w:sz w:val="20"/>
          <w:szCs w:val="20"/>
        </w:rPr>
        <w:t>Articolul 6</w:t>
      </w:r>
    </w:p>
    <w:p w:rsidR="00BD0F91" w:rsidRPr="00BD0F91" w:rsidRDefault="00BD0F91" w:rsidP="00BD0F91">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rsidR="00BD0F91" w:rsidRPr="00BD0F91" w:rsidRDefault="00BD0F91" w:rsidP="00BD0F91">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nu va examina cererile incomplete și nepermise și anume:</w:t>
      </w:r>
    </w:p>
    <w:p w:rsidR="00BD0F91" w:rsidRPr="00BD0F91" w:rsidRDefault="00BD0F91"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noProof/>
          <w:sz w:val="20"/>
          <w:szCs w:val="20"/>
        </w:rPr>
      </w:pPr>
      <w:r>
        <w:rPr>
          <w:rFonts w:asciiTheme="minorHAnsi" w:hAnsiTheme="minorHAnsi"/>
          <w:sz w:val="20"/>
          <w:szCs w:val="20"/>
        </w:rPr>
        <w:t xml:space="preserve">cererile incomplete sau completate incorect respectiv cererile în care nu sunt completate toate câmpurile obligatorii (câmpurile care nu sunt obligatorii sunt enumerate în formularul cererii),  </w:t>
      </w:r>
    </w:p>
    <w:p w:rsidR="00BD0F91" w:rsidRPr="00BD0F91" w:rsidRDefault="00BD0F91"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noProof/>
          <w:sz w:val="20"/>
          <w:szCs w:val="20"/>
        </w:rPr>
      </w:pPr>
      <w:r>
        <w:rPr>
          <w:rFonts w:asciiTheme="minorHAnsi" w:hAnsiTheme="minorHAnsi"/>
          <w:sz w:val="20"/>
          <w:szCs w:val="20"/>
        </w:rPr>
        <w:t>precum și cererile care nu sunt semnate și ștampilate;</w:t>
      </w:r>
    </w:p>
    <w:p w:rsidR="00BD0F91" w:rsidRPr="00BD0F91" w:rsidRDefault="00BD0F91"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noProof/>
          <w:sz w:val="20"/>
          <w:szCs w:val="20"/>
        </w:rPr>
      </w:pPr>
      <w:r>
        <w:rPr>
          <w:rFonts w:asciiTheme="minorHAnsi" w:hAnsiTheme="minorHAnsi"/>
          <w:sz w:val="20"/>
          <w:szCs w:val="20"/>
        </w:rPr>
        <w:t>cererile sosite după termenul prevăzut.</w:t>
      </w:r>
    </w:p>
    <w:p w:rsidR="00BD0F91" w:rsidRPr="00BD0F91" w:rsidRDefault="00BD0F91" w:rsidP="00BD0F91">
      <w:pPr>
        <w:pStyle w:val="ListParagraph"/>
        <w:widowControl/>
        <w:numPr>
          <w:ilvl w:val="0"/>
          <w:numId w:val="11"/>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rsidR="00BD0F91" w:rsidRPr="00BD0F91" w:rsidRDefault="00BD0F91" w:rsidP="00BD0F91">
      <w:pPr>
        <w:pStyle w:val="ListParagraph"/>
        <w:widowControl/>
        <w:numPr>
          <w:ilvl w:val="0"/>
          <w:numId w:val="11"/>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2 din prezentul Regulament;</w:t>
      </w:r>
    </w:p>
    <w:p w:rsidR="00B028EF" w:rsidRPr="00BD0F91"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rsidR="00B028EF" w:rsidRPr="00BD0F91"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semnatarilor cererii care nu au remis raportul financiar/narativ privind realizarea achiziției de echipament din anul precedent în termenele prevăzute; </w:t>
      </w:r>
    </w:p>
    <w:p w:rsidR="00B028EF" w:rsidRPr="00BD0F91" w:rsidRDefault="000D4163"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lastRenderedPageBreak/>
        <w:t>cererile ale căror realizare nu poate fi efectuată pe parcursul anului calendaristic curent, respectiv bugetar.</w:t>
      </w:r>
    </w:p>
    <w:p w:rsidR="00477441" w:rsidRPr="00A92527" w:rsidRDefault="00477441" w:rsidP="00E97652">
      <w:pPr>
        <w:pStyle w:val="BodyText"/>
        <w:spacing w:line="230" w:lineRule="auto"/>
        <w:ind w:left="113" w:right="118" w:firstLine="355"/>
        <w:jc w:val="both"/>
        <w:rPr>
          <w:rFonts w:eastAsia="Times New Roman"/>
          <w:b/>
          <w:sz w:val="20"/>
          <w:szCs w:val="20"/>
        </w:rPr>
      </w:pPr>
    </w:p>
    <w:p w:rsidR="000D4163" w:rsidRPr="00A92527" w:rsidRDefault="000D4163" w:rsidP="00E97652">
      <w:pPr>
        <w:pStyle w:val="BodyText"/>
        <w:spacing w:line="230" w:lineRule="auto"/>
        <w:ind w:left="113" w:right="118" w:firstLine="355"/>
        <w:jc w:val="both"/>
        <w:rPr>
          <w:rFonts w:eastAsia="Times New Roman"/>
          <w:b/>
          <w:sz w:val="20"/>
          <w:szCs w:val="20"/>
        </w:rPr>
      </w:pPr>
    </w:p>
    <w:p w:rsidR="00EE0144" w:rsidRPr="00A92527" w:rsidRDefault="00EE0144" w:rsidP="006E728C">
      <w:pPr>
        <w:pStyle w:val="BodyText"/>
        <w:spacing w:line="230" w:lineRule="auto"/>
        <w:ind w:left="113" w:right="118" w:firstLine="355"/>
        <w:jc w:val="center"/>
        <w:rPr>
          <w:rFonts w:eastAsia="Times New Roman"/>
          <w:b/>
          <w:sz w:val="20"/>
          <w:szCs w:val="20"/>
        </w:rPr>
      </w:pPr>
      <w:r>
        <w:rPr>
          <w:b/>
          <w:sz w:val="20"/>
          <w:szCs w:val="20"/>
        </w:rPr>
        <w:t>Criteriile pentru acordarea mijloacelor conform concursului</w:t>
      </w:r>
    </w:p>
    <w:p w:rsidR="009E6661" w:rsidRPr="00A92527" w:rsidRDefault="006E728C" w:rsidP="00E97652">
      <w:pPr>
        <w:pStyle w:val="BodyText"/>
        <w:spacing w:line="230" w:lineRule="auto"/>
        <w:ind w:left="113" w:right="118" w:firstLine="355"/>
        <w:jc w:val="center"/>
        <w:rPr>
          <w:rFonts w:eastAsia="Times New Roman"/>
          <w:sz w:val="20"/>
          <w:szCs w:val="20"/>
        </w:rPr>
      </w:pPr>
      <w:r>
        <w:rPr>
          <w:sz w:val="20"/>
          <w:szCs w:val="20"/>
        </w:rPr>
        <w:t>Articolul 7</w:t>
      </w:r>
    </w:p>
    <w:p w:rsidR="00487308" w:rsidRPr="00A92527" w:rsidRDefault="00487308" w:rsidP="006E728C">
      <w:pPr>
        <w:ind w:firstLine="468"/>
        <w:rPr>
          <w:sz w:val="20"/>
          <w:szCs w:val="20"/>
        </w:rPr>
      </w:pPr>
    </w:p>
    <w:p w:rsidR="00487308" w:rsidRPr="00A92527" w:rsidRDefault="00487308" w:rsidP="004F595D">
      <w:pPr>
        <w:jc w:val="both"/>
        <w:rPr>
          <w:sz w:val="20"/>
          <w:szCs w:val="20"/>
        </w:rPr>
      </w:pPr>
      <w:r>
        <w:rPr>
          <w:rFonts w:ascii="MS Gothic" w:hAnsi="MS Gothic"/>
          <w:b/>
        </w:rPr>
        <w:t xml:space="preserve">　　　　</w:t>
      </w:r>
      <w:r>
        <w:t xml:space="preserve"> </w:t>
      </w:r>
      <w:r>
        <w:rPr>
          <w:sz w:val="20"/>
          <w:szCs w:val="20"/>
        </w:rPr>
        <w:t xml:space="preserve">Cererile semnatarilor, pe care Comisia le-a luat în considerare, se clasifică în baza următoarelor criterii:  </w:t>
      </w:r>
    </w:p>
    <w:p w:rsidR="00487308" w:rsidRPr="00A92527"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487308" w:rsidRPr="00A92527"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p w:rsidR="00487308" w:rsidRPr="00A92527"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tc>
        <w:tc>
          <w:tcPr>
            <w:tcW w:w="6211" w:type="dxa"/>
            <w:tcBorders>
              <w:top w:val="single" w:sz="4" w:space="0" w:color="auto"/>
              <w:left w:val="single" w:sz="4" w:space="0" w:color="auto"/>
              <w:bottom w:val="single" w:sz="4" w:space="0" w:color="auto"/>
              <w:right w:val="single" w:sz="4" w:space="0" w:color="auto"/>
            </w:tcBorders>
            <w:hideMark/>
          </w:tcPr>
          <w:p w:rsidR="00487308" w:rsidRPr="00A92527"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rsidR="00487308" w:rsidRPr="00A92527" w:rsidRDefault="00487308">
            <w:pPr>
              <w:adjustRightInd w:val="0"/>
              <w:jc w:val="center"/>
              <w:rPr>
                <w:rFonts w:asciiTheme="minorHAnsi" w:hAnsiTheme="minorHAnsi" w:cstheme="minorHAnsi"/>
                <w:sz w:val="20"/>
                <w:szCs w:val="20"/>
              </w:rPr>
            </w:pPr>
            <w:r>
              <w:rPr>
                <w:rFonts w:asciiTheme="minorHAnsi" w:hAnsiTheme="minorHAnsi"/>
                <w:sz w:val="20"/>
                <w:szCs w:val="20"/>
              </w:rPr>
              <w:t>Punctele</w:t>
            </w:r>
          </w:p>
          <w:p w:rsidR="00487308" w:rsidRPr="00A92527" w:rsidRDefault="00487308">
            <w:pPr>
              <w:adjustRightInd w:val="0"/>
              <w:jc w:val="center"/>
              <w:rPr>
                <w:rFonts w:asciiTheme="minorHAnsi" w:hAnsiTheme="minorHAnsi" w:cstheme="minorHAnsi"/>
                <w:sz w:val="20"/>
                <w:szCs w:val="20"/>
                <w:lang w:val="sr-Latn-RS"/>
              </w:rPr>
            </w:pPr>
          </w:p>
        </w:tc>
      </w:tr>
      <w:tr w:rsidR="00C34976" w:rsidRPr="00A92527" w:rsidTr="00BD0F91">
        <w:trPr>
          <w:jc w:val="center"/>
        </w:trPr>
        <w:tc>
          <w:tcPr>
            <w:tcW w:w="985" w:type="dxa"/>
            <w:tcBorders>
              <w:top w:val="single" w:sz="4" w:space="0" w:color="auto"/>
              <w:left w:val="single" w:sz="4" w:space="0" w:color="auto"/>
              <w:bottom w:val="single" w:sz="4" w:space="0" w:color="auto"/>
              <w:right w:val="single" w:sz="4" w:space="0" w:color="auto"/>
            </w:tcBorders>
          </w:tcPr>
          <w:p w:rsidR="008B7DA8" w:rsidRPr="00A92527" w:rsidRDefault="00BD0F91" w:rsidP="008B7DA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rsidR="008B7DA8" w:rsidRPr="00A92527" w:rsidRDefault="008B7DA8" w:rsidP="00B97B8B">
            <w:pPr>
              <w:adjustRightInd w:val="0"/>
              <w:rPr>
                <w:sz w:val="20"/>
                <w:szCs w:val="20"/>
              </w:rPr>
            </w:pPr>
            <w:r>
              <w:rPr>
                <w:sz w:val="20"/>
                <w:szCs w:val="20"/>
              </w:rPr>
              <w:t xml:space="preserve">Importanța realizării achiziției de echipament în raport cu asigurarea condițiilor de calitate pentru realizarea activității educativ-instructive </w:t>
            </w:r>
          </w:p>
        </w:tc>
        <w:tc>
          <w:tcPr>
            <w:tcW w:w="1016" w:type="dxa"/>
            <w:tcBorders>
              <w:top w:val="single" w:sz="4" w:space="0" w:color="auto"/>
              <w:left w:val="single" w:sz="4" w:space="0" w:color="auto"/>
              <w:bottom w:val="single" w:sz="4" w:space="0" w:color="auto"/>
              <w:right w:val="single" w:sz="4" w:space="0" w:color="auto"/>
            </w:tcBorders>
            <w:hideMark/>
          </w:tcPr>
          <w:p w:rsidR="008B7DA8" w:rsidRPr="00A92527" w:rsidRDefault="008B7DA8" w:rsidP="00BD0F91">
            <w:pPr>
              <w:adjustRightInd w:val="0"/>
              <w:jc w:val="center"/>
              <w:rPr>
                <w:rFonts w:asciiTheme="minorHAnsi" w:hAnsiTheme="minorHAnsi" w:cstheme="minorHAnsi"/>
                <w:sz w:val="20"/>
                <w:szCs w:val="20"/>
              </w:rPr>
            </w:pPr>
            <w:r>
              <w:rPr>
                <w:rFonts w:asciiTheme="minorHAnsi" w:hAnsiTheme="minorHAnsi"/>
                <w:sz w:val="20"/>
                <w:szCs w:val="20"/>
              </w:rPr>
              <w:t>0-30</w:t>
            </w:r>
          </w:p>
        </w:tc>
      </w:tr>
      <w:tr w:rsidR="00BD0F91" w:rsidRPr="00A92527" w:rsidTr="00BD0F91">
        <w:trPr>
          <w:jc w:val="center"/>
        </w:trPr>
        <w:tc>
          <w:tcPr>
            <w:tcW w:w="98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adjustRightInd w:val="0"/>
              <w:rPr>
                <w:sz w:val="20"/>
                <w:szCs w:val="20"/>
              </w:rPr>
            </w:pPr>
            <w:r>
              <w:rPr>
                <w:sz w:val="20"/>
                <w:szCs w:val="20"/>
              </w:rPr>
              <w:t>Achiziţia de echipament care poate să se realizeze preponderent în anul bugetar curent</w:t>
            </w:r>
          </w:p>
        </w:tc>
        <w:tc>
          <w:tcPr>
            <w:tcW w:w="1016"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0-10</w:t>
            </w:r>
          </w:p>
        </w:tc>
      </w:tr>
      <w:tr w:rsidR="00BD0F91"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rPr>
                <w:sz w:val="20"/>
                <w:szCs w:val="20"/>
              </w:rPr>
            </w:pPr>
            <w:r>
              <w:rPr>
                <w:sz w:val="20"/>
                <w:szCs w:val="20"/>
              </w:rPr>
              <w:t>Numărul elevilor școlii și numărul beneficiarilor finali</w:t>
            </w:r>
          </w:p>
        </w:tc>
        <w:tc>
          <w:tcPr>
            <w:tcW w:w="1016"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0-10</w:t>
            </w:r>
          </w:p>
        </w:tc>
      </w:tr>
      <w:tr w:rsidR="00BD0F91" w:rsidRPr="00A92527" w:rsidTr="00BD0F91">
        <w:trPr>
          <w:jc w:val="center"/>
        </w:trPr>
        <w:tc>
          <w:tcPr>
            <w:tcW w:w="98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rPr>
                <w:sz w:val="20"/>
                <w:szCs w:val="20"/>
              </w:rPr>
            </w:pPr>
            <w:r>
              <w:rPr>
                <w:sz w:val="20"/>
                <w:szCs w:val="20"/>
              </w:rPr>
              <w:t xml:space="preserve">Activitățile întreprinse cu scopul realizării achiziției de echipament </w:t>
            </w:r>
          </w:p>
        </w:tc>
        <w:tc>
          <w:tcPr>
            <w:tcW w:w="1016" w:type="dxa"/>
            <w:tcBorders>
              <w:top w:val="single" w:sz="4" w:space="0" w:color="auto"/>
              <w:left w:val="single" w:sz="4" w:space="0" w:color="auto"/>
              <w:bottom w:val="single" w:sz="4" w:space="0" w:color="auto"/>
              <w:right w:val="single" w:sz="4" w:space="0" w:color="auto"/>
            </w:tcBorders>
            <w:hideMark/>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0-10</w:t>
            </w:r>
          </w:p>
        </w:tc>
      </w:tr>
      <w:tr w:rsidR="00BD0F91"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tcPr>
          <w:p w:rsidR="00BD0F91"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rPr>
                <w:sz w:val="20"/>
                <w:szCs w:val="20"/>
              </w:rPr>
            </w:pPr>
            <w:r>
              <w:rPr>
                <w:sz w:val="20"/>
                <w:szCs w:val="20"/>
              </w:rPr>
              <w:t xml:space="preserve">Sursele asigurate de mijloace pentru achiziția de echipament </w:t>
            </w:r>
          </w:p>
        </w:tc>
        <w:tc>
          <w:tcPr>
            <w:tcW w:w="1016" w:type="dxa"/>
            <w:tcBorders>
              <w:top w:val="single" w:sz="4" w:space="0" w:color="auto"/>
              <w:left w:val="single" w:sz="4" w:space="0" w:color="auto"/>
              <w:bottom w:val="single" w:sz="4" w:space="0" w:color="auto"/>
              <w:right w:val="single" w:sz="4" w:space="0" w:color="auto"/>
            </w:tcBorders>
          </w:tcPr>
          <w:p w:rsidR="00BD0F91" w:rsidRPr="00A92527" w:rsidRDefault="00BD0F91" w:rsidP="00BD0F91">
            <w:pPr>
              <w:adjustRightInd w:val="0"/>
              <w:jc w:val="center"/>
              <w:rPr>
                <w:rFonts w:asciiTheme="minorHAnsi" w:hAnsiTheme="minorHAnsi" w:cstheme="minorHAnsi"/>
                <w:sz w:val="20"/>
                <w:szCs w:val="20"/>
              </w:rPr>
            </w:pPr>
            <w:r>
              <w:rPr>
                <w:rFonts w:asciiTheme="minorHAnsi" w:hAnsiTheme="minorHAnsi"/>
                <w:sz w:val="20"/>
                <w:szCs w:val="20"/>
              </w:rPr>
              <w:t>0-10</w:t>
            </w:r>
          </w:p>
        </w:tc>
      </w:tr>
    </w:tbl>
    <w:p w:rsidR="001A663B" w:rsidRPr="00A92527" w:rsidRDefault="001A663B" w:rsidP="00AB666A">
      <w:pPr>
        <w:widowControl/>
        <w:autoSpaceDE/>
        <w:autoSpaceDN/>
        <w:rPr>
          <w:rFonts w:eastAsia="Times New Roman"/>
          <w:b/>
          <w:sz w:val="20"/>
          <w:szCs w:val="20"/>
          <w:lang w:val="sr-Cyrl-CS"/>
        </w:rPr>
      </w:pPr>
    </w:p>
    <w:p w:rsidR="001A663B" w:rsidRPr="00A92527" w:rsidRDefault="001A663B" w:rsidP="001A663B">
      <w:pPr>
        <w:widowControl/>
        <w:autoSpaceDE/>
        <w:autoSpaceDN/>
        <w:jc w:val="center"/>
        <w:rPr>
          <w:rFonts w:eastAsia="Times New Roman"/>
          <w:b/>
          <w:sz w:val="20"/>
          <w:szCs w:val="20"/>
        </w:rPr>
      </w:pPr>
      <w:r>
        <w:rPr>
          <w:b/>
          <w:sz w:val="20"/>
          <w:szCs w:val="20"/>
        </w:rPr>
        <w:t>Deciderea privind acordarea mijloacelor conform concursului</w:t>
      </w:r>
    </w:p>
    <w:p w:rsidR="00F83D63" w:rsidRPr="00A92527" w:rsidRDefault="00F83D63" w:rsidP="00F83D63">
      <w:pPr>
        <w:widowControl/>
        <w:autoSpaceDE/>
        <w:autoSpaceDN/>
        <w:jc w:val="center"/>
        <w:rPr>
          <w:sz w:val="20"/>
          <w:szCs w:val="20"/>
        </w:rPr>
      </w:pPr>
      <w:r>
        <w:rPr>
          <w:sz w:val="20"/>
          <w:szCs w:val="20"/>
        </w:rPr>
        <w:t>Articolul 8</w:t>
      </w:r>
    </w:p>
    <w:p w:rsidR="00F83D63" w:rsidRPr="00A92527" w:rsidRDefault="00F83D63" w:rsidP="00F83D63">
      <w:pPr>
        <w:widowControl/>
        <w:tabs>
          <w:tab w:val="left" w:pos="720"/>
        </w:tabs>
        <w:autoSpaceDE/>
        <w:autoSpaceDN/>
        <w:jc w:val="both"/>
        <w:rPr>
          <w:sz w:val="20"/>
          <w:szCs w:val="20"/>
        </w:rPr>
      </w:pPr>
    </w:p>
    <w:p w:rsidR="00F83D63" w:rsidRPr="00A92527" w:rsidRDefault="00386704" w:rsidP="00F83D63">
      <w:pPr>
        <w:ind w:firstLine="851"/>
        <w:jc w:val="both"/>
        <w:rPr>
          <w:sz w:val="20"/>
          <w:szCs w:val="20"/>
        </w:rPr>
      </w:pPr>
      <w:r>
        <w:rPr>
          <w:sz w:val="20"/>
          <w:szCs w:val="20"/>
        </w:rPr>
        <w:t xml:space="preserve">În conformitate cu criteriile definite în Concurs și Regulament, Comisia formează clasamentul cu semnatarii cererilor, cu propunerea pentru repartizarea mijloacelor asigurate prin Concurs. </w:t>
      </w:r>
    </w:p>
    <w:p w:rsidR="008B7DA8" w:rsidRPr="00A92527" w:rsidRDefault="00F83D63" w:rsidP="00AB666A">
      <w:pPr>
        <w:ind w:firstLine="851"/>
        <w:jc w:val="both"/>
        <w:rPr>
          <w:sz w:val="20"/>
          <w:szCs w:val="20"/>
        </w:rPr>
      </w:pPr>
      <w:r>
        <w:rPr>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rsidR="00487308" w:rsidRPr="00A92527" w:rsidRDefault="00487308" w:rsidP="00487308">
      <w:pPr>
        <w:spacing w:line="228" w:lineRule="auto"/>
        <w:ind w:left="113" w:right="118" w:firstLine="355"/>
        <w:jc w:val="center"/>
        <w:rPr>
          <w:rFonts w:eastAsia="Times New Roman"/>
          <w:sz w:val="20"/>
          <w:szCs w:val="20"/>
        </w:rPr>
      </w:pPr>
      <w:r>
        <w:rPr>
          <w:sz w:val="20"/>
          <w:szCs w:val="20"/>
        </w:rPr>
        <w:t>Articolul 9</w:t>
      </w:r>
    </w:p>
    <w:p w:rsidR="00487308" w:rsidRPr="00A92527" w:rsidRDefault="00487308" w:rsidP="00487308">
      <w:pPr>
        <w:spacing w:before="11"/>
        <w:rPr>
          <w:sz w:val="20"/>
          <w:szCs w:val="20"/>
        </w:rPr>
      </w:pPr>
    </w:p>
    <w:p w:rsidR="000212A0" w:rsidRPr="00A92527" w:rsidRDefault="00487308" w:rsidP="000212A0">
      <w:pPr>
        <w:ind w:firstLine="468"/>
        <w:jc w:val="both"/>
        <w:rPr>
          <w:sz w:val="20"/>
          <w:szCs w:val="20"/>
        </w:rPr>
      </w:pPr>
      <w:r>
        <w:rPr>
          <w:sz w:val="20"/>
          <w:szCs w:val="20"/>
        </w:rPr>
        <w:t>Secretarul provincial examinează propunerea Comisiei cu clasament și hotărăște cu privire la repartizarea mijloacelor beneficiarilor prin decizie, în termen de 30 de zile de la data remiterii propunerii Comisiei pentru acordarea mijloacelor.</w:t>
      </w:r>
    </w:p>
    <w:p w:rsidR="00487308" w:rsidRPr="00A92527" w:rsidRDefault="00487308" w:rsidP="00487308">
      <w:pPr>
        <w:ind w:firstLine="468"/>
        <w:rPr>
          <w:sz w:val="20"/>
          <w:szCs w:val="20"/>
        </w:rPr>
      </w:pPr>
      <w:r>
        <w:rPr>
          <w:sz w:val="20"/>
          <w:szCs w:val="20"/>
        </w:rPr>
        <w:t>Decizia prevăzută la alineatul 1 din prezentul articol este definitivă.</w:t>
      </w:r>
    </w:p>
    <w:p w:rsidR="00487308" w:rsidRPr="00A92527" w:rsidRDefault="00487308" w:rsidP="00487308">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rsidR="000212A0" w:rsidRPr="00A92527" w:rsidRDefault="000212A0" w:rsidP="00E97652">
      <w:pPr>
        <w:pStyle w:val="BodyText"/>
        <w:spacing w:line="230" w:lineRule="auto"/>
        <w:ind w:right="118"/>
        <w:rPr>
          <w:rFonts w:eastAsia="Times New Roman"/>
          <w:b/>
          <w:sz w:val="20"/>
          <w:szCs w:val="20"/>
        </w:rPr>
      </w:pPr>
    </w:p>
    <w:p w:rsidR="00306291" w:rsidRPr="00A92527" w:rsidRDefault="00306291" w:rsidP="006E728C">
      <w:pPr>
        <w:pStyle w:val="BodyText"/>
        <w:spacing w:line="230" w:lineRule="auto"/>
        <w:ind w:left="113" w:right="118" w:firstLine="355"/>
        <w:jc w:val="center"/>
        <w:rPr>
          <w:rFonts w:eastAsia="Times New Roman"/>
          <w:b/>
          <w:sz w:val="20"/>
          <w:szCs w:val="20"/>
        </w:rPr>
      </w:pPr>
      <w:r>
        <w:rPr>
          <w:b/>
          <w:sz w:val="20"/>
          <w:szCs w:val="20"/>
        </w:rPr>
        <w:t>Încheierea contractului</w:t>
      </w:r>
    </w:p>
    <w:p w:rsidR="009E6661" w:rsidRPr="00A92527" w:rsidRDefault="00077BF8" w:rsidP="006E728C">
      <w:pPr>
        <w:pStyle w:val="BodyText"/>
        <w:spacing w:line="230" w:lineRule="auto"/>
        <w:ind w:left="113" w:right="118" w:firstLine="355"/>
        <w:jc w:val="center"/>
        <w:rPr>
          <w:rFonts w:eastAsia="Times New Roman"/>
          <w:sz w:val="20"/>
          <w:szCs w:val="20"/>
        </w:rPr>
      </w:pPr>
      <w:r>
        <w:rPr>
          <w:sz w:val="20"/>
          <w:szCs w:val="20"/>
        </w:rPr>
        <w:t>Articolul 10</w:t>
      </w:r>
    </w:p>
    <w:p w:rsidR="009E6661" w:rsidRPr="00A92527" w:rsidRDefault="009E6661" w:rsidP="006E728C">
      <w:pPr>
        <w:rPr>
          <w:sz w:val="20"/>
          <w:szCs w:val="20"/>
        </w:rPr>
      </w:pPr>
    </w:p>
    <w:p w:rsidR="009E6661" w:rsidRPr="00A92527" w:rsidRDefault="00077BF8" w:rsidP="00857520">
      <w:pPr>
        <w:ind w:firstLine="464"/>
        <w:jc w:val="both"/>
        <w:rPr>
          <w:sz w:val="20"/>
          <w:szCs w:val="20"/>
        </w:rPr>
      </w:pPr>
      <w:r>
        <w:rPr>
          <w:sz w:val="20"/>
          <w:szCs w:val="20"/>
        </w:rPr>
        <w:t>Secretariatul Provincial preia obligaţia de repartizare a mijloacelor în baza contractului, în sensul legii carereglementează sistemul bugetar.</w:t>
      </w:r>
    </w:p>
    <w:p w:rsidR="001A663B" w:rsidRPr="00A92527" w:rsidRDefault="001A663B" w:rsidP="001A663B">
      <w:pPr>
        <w:ind w:firstLine="464"/>
        <w:jc w:val="center"/>
        <w:rPr>
          <w:b/>
          <w:sz w:val="20"/>
          <w:szCs w:val="20"/>
        </w:rPr>
      </w:pPr>
    </w:p>
    <w:p w:rsidR="001A663B" w:rsidRPr="00A92527" w:rsidRDefault="001A663B" w:rsidP="001A663B">
      <w:pPr>
        <w:ind w:firstLine="464"/>
        <w:jc w:val="center"/>
        <w:rPr>
          <w:b/>
          <w:sz w:val="20"/>
          <w:szCs w:val="20"/>
        </w:rPr>
      </w:pPr>
      <w:r>
        <w:rPr>
          <w:b/>
          <w:sz w:val="20"/>
          <w:szCs w:val="20"/>
        </w:rPr>
        <w:t>Vărsarea mijloacelor acordate</w:t>
      </w:r>
    </w:p>
    <w:p w:rsidR="001A663B" w:rsidRPr="00A92527" w:rsidRDefault="001A663B" w:rsidP="001A663B">
      <w:pPr>
        <w:ind w:firstLine="464"/>
        <w:jc w:val="center"/>
        <w:rPr>
          <w:sz w:val="20"/>
          <w:szCs w:val="20"/>
        </w:rPr>
      </w:pPr>
      <w:r>
        <w:rPr>
          <w:sz w:val="20"/>
          <w:szCs w:val="20"/>
        </w:rPr>
        <w:t>Articolul 11</w:t>
      </w:r>
    </w:p>
    <w:p w:rsidR="001A663B" w:rsidRPr="00A92527" w:rsidRDefault="001A663B" w:rsidP="001A663B">
      <w:pPr>
        <w:ind w:firstLine="464"/>
        <w:jc w:val="both"/>
        <w:rPr>
          <w:sz w:val="20"/>
          <w:szCs w:val="20"/>
        </w:rPr>
      </w:pPr>
    </w:p>
    <w:p w:rsidR="000212A0" w:rsidRPr="00A92527" w:rsidRDefault="001A663B" w:rsidP="000212A0">
      <w:pPr>
        <w:spacing w:line="100" w:lineRule="atLeast"/>
        <w:ind w:left="-284" w:right="-431" w:firstLine="283"/>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rsidR="000212A0" w:rsidRPr="00A92527" w:rsidRDefault="000212A0" w:rsidP="000212A0">
      <w:pPr>
        <w:spacing w:line="100" w:lineRule="atLeast"/>
        <w:ind w:left="-284" w:right="-431" w:firstLine="283"/>
        <w:jc w:val="both"/>
        <w:rPr>
          <w:bCs/>
          <w:sz w:val="20"/>
          <w:szCs w:val="20"/>
        </w:rPr>
      </w:pPr>
      <w:r>
        <w:rPr>
          <w:bCs/>
          <w:sz w:val="20"/>
          <w:szCs w:val="20"/>
        </w:rPr>
        <w:t>Dacă beneficiarul de mijloace nu semnează contractul în termenul stabilit de Secretariat, se consideră că a renunţat la cererea prezentată.</w:t>
      </w:r>
    </w:p>
    <w:p w:rsidR="000212A0" w:rsidRDefault="000212A0" w:rsidP="000212A0">
      <w:pPr>
        <w:spacing w:line="100" w:lineRule="atLeast"/>
        <w:ind w:left="-284" w:right="-431" w:firstLine="283"/>
        <w:jc w:val="both"/>
        <w:rPr>
          <w:bCs/>
          <w:sz w:val="20"/>
          <w:szCs w:val="20"/>
        </w:rPr>
      </w:pPr>
      <w:r>
        <w:rPr>
          <w:bCs/>
          <w:sz w:val="20"/>
          <w:szCs w:val="20"/>
        </w:rPr>
        <w:t>În cazul în care, din motivele asupra cărora Secretariatului nu apoate influența, mijloacele acordate nu pot fi transferate în conturile beneficiarilor de mijloace, Secretariatul are dreptul de a rezilia contractul.</w:t>
      </w:r>
    </w:p>
    <w:p w:rsidR="004B6BAC" w:rsidRPr="00A92527" w:rsidRDefault="004B6BAC" w:rsidP="000212A0">
      <w:pPr>
        <w:spacing w:line="100" w:lineRule="atLeast"/>
        <w:ind w:left="-284" w:right="-431" w:firstLine="283"/>
        <w:jc w:val="both"/>
        <w:rPr>
          <w:bCs/>
          <w:sz w:val="20"/>
          <w:szCs w:val="20"/>
        </w:rPr>
      </w:pPr>
    </w:p>
    <w:p w:rsidR="00F83D63" w:rsidRPr="00A92527" w:rsidRDefault="00F83D63" w:rsidP="00F83D63">
      <w:pPr>
        <w:pStyle w:val="BodyText"/>
        <w:spacing w:line="230" w:lineRule="auto"/>
        <w:ind w:left="113" w:right="118" w:firstLine="355"/>
        <w:jc w:val="center"/>
        <w:rPr>
          <w:b/>
          <w:sz w:val="20"/>
          <w:szCs w:val="20"/>
        </w:rPr>
      </w:pPr>
      <w:r>
        <w:rPr>
          <w:b/>
          <w:sz w:val="20"/>
          <w:szCs w:val="20"/>
        </w:rPr>
        <w:t>Folosirea mijloacelor acordate și obligațiile beneficiarilor de mijloace</w:t>
      </w:r>
    </w:p>
    <w:p w:rsidR="00F83D63" w:rsidRPr="00A92527" w:rsidRDefault="00F83D63" w:rsidP="00F83D63">
      <w:pPr>
        <w:pStyle w:val="BodyText"/>
        <w:spacing w:line="230" w:lineRule="auto"/>
        <w:ind w:left="113" w:right="118" w:firstLine="355"/>
        <w:jc w:val="center"/>
        <w:rPr>
          <w:rFonts w:eastAsia="Times New Roman"/>
          <w:sz w:val="20"/>
          <w:szCs w:val="20"/>
        </w:rPr>
      </w:pPr>
      <w:r>
        <w:rPr>
          <w:sz w:val="20"/>
          <w:szCs w:val="20"/>
        </w:rPr>
        <w:t>Articolul 12</w:t>
      </w:r>
    </w:p>
    <w:p w:rsidR="00F83D63" w:rsidRPr="00A92527" w:rsidRDefault="00F83D63" w:rsidP="00F83D63">
      <w:pPr>
        <w:rPr>
          <w:sz w:val="20"/>
          <w:szCs w:val="20"/>
        </w:rPr>
      </w:pPr>
    </w:p>
    <w:p w:rsidR="00F83D63" w:rsidRPr="00A92527" w:rsidRDefault="00F83D63" w:rsidP="00F83D63">
      <w:pPr>
        <w:ind w:firstLine="468"/>
        <w:jc w:val="both"/>
        <w:rPr>
          <w:sz w:val="20"/>
          <w:szCs w:val="20"/>
        </w:rPr>
      </w:pPr>
      <w:r>
        <w:rPr>
          <w:sz w:val="20"/>
          <w:szCs w:val="20"/>
        </w:rPr>
        <w:lastRenderedPageBreak/>
        <w:t>Beneficiarul este obligat ca mijloacele acordate să le folosească conform destinaţiilor şi în mod legal, iar mijloacele necheltuite să le restituie în bugetul P.A. Voivodina.</w:t>
      </w:r>
    </w:p>
    <w:p w:rsidR="00F83D63" w:rsidRPr="00A92527" w:rsidRDefault="00F83D63" w:rsidP="00F83D63">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achiziției de echipament, pentru care au fost repartizate mijloacele, cu documentaţia aferentă pe care au autentificat-o persoanele responsabile.</w:t>
      </w:r>
    </w:p>
    <w:p w:rsidR="000B2ACF" w:rsidRDefault="000B2ACF" w:rsidP="00F83D63">
      <w:pPr>
        <w:ind w:firstLine="468"/>
        <w:jc w:val="both"/>
        <w:rPr>
          <w:sz w:val="20"/>
          <w:szCs w:val="20"/>
        </w:rPr>
      </w:pPr>
    </w:p>
    <w:p w:rsidR="000B2ACF" w:rsidRDefault="000B2ACF" w:rsidP="00F83D63">
      <w:pPr>
        <w:ind w:firstLine="468"/>
        <w:jc w:val="both"/>
        <w:rPr>
          <w:sz w:val="20"/>
          <w:szCs w:val="20"/>
        </w:rPr>
      </w:pPr>
    </w:p>
    <w:p w:rsidR="000B2ACF" w:rsidRDefault="000B2ACF" w:rsidP="00F83D63">
      <w:pPr>
        <w:ind w:firstLine="468"/>
        <w:jc w:val="both"/>
        <w:rPr>
          <w:sz w:val="20"/>
          <w:szCs w:val="20"/>
        </w:rPr>
      </w:pPr>
    </w:p>
    <w:p w:rsidR="00F83D63" w:rsidRPr="00A9252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rsidR="00F83D63" w:rsidRPr="00A92527" w:rsidRDefault="00F83D63" w:rsidP="00F83D63">
      <w:pPr>
        <w:ind w:firstLine="468"/>
        <w:jc w:val="both"/>
        <w:rPr>
          <w:sz w:val="20"/>
          <w:szCs w:val="20"/>
        </w:rPr>
      </w:pPr>
      <w:r>
        <w:rPr>
          <w:sz w:val="20"/>
          <w:szCs w:val="20"/>
        </w:rPr>
        <w:t>Dacă beneficiarul nu remite raportul prevăzut la alineatul 3 din prezentul articol, îşi pierde dreptul de a concura pentru repartizarea mijloacelor la concursul viitor.</w:t>
      </w:r>
    </w:p>
    <w:p w:rsidR="00F83D63" w:rsidRPr="00A92527" w:rsidRDefault="00F83D63" w:rsidP="00F83D63">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rsidR="00473CA2" w:rsidRPr="00A92527" w:rsidRDefault="00473CA2" w:rsidP="00473CA2">
      <w:pPr>
        <w:widowControl/>
        <w:autoSpaceDE/>
        <w:autoSpaceDN/>
        <w:rPr>
          <w:rFonts w:asciiTheme="minorHAnsi" w:hAnsiTheme="minorHAnsi" w:cstheme="minorHAnsi"/>
          <w:sz w:val="20"/>
          <w:szCs w:val="20"/>
          <w:lang w:val="sr-Latn-RS"/>
        </w:rPr>
      </w:pPr>
    </w:p>
    <w:p w:rsidR="00F83D63" w:rsidRPr="00A92527"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Monitorizarea realizării</w:t>
      </w:r>
    </w:p>
    <w:p w:rsidR="00B94B6F" w:rsidRPr="00A92527" w:rsidRDefault="00F83D63" w:rsidP="00AB666A">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13</w:t>
      </w:r>
    </w:p>
    <w:p w:rsidR="00B94B6F" w:rsidRPr="00A92527" w:rsidRDefault="00B94B6F" w:rsidP="00B94B6F">
      <w:pPr>
        <w:shd w:val="clear" w:color="auto" w:fill="FFFFFF"/>
        <w:ind w:firstLine="284"/>
        <w:jc w:val="both"/>
        <w:rPr>
          <w:sz w:val="20"/>
          <w:szCs w:val="20"/>
        </w:rPr>
      </w:pPr>
      <w:r>
        <w:rPr>
          <w:sz w:val="20"/>
          <w:szCs w:val="20"/>
        </w:rPr>
        <w:t>Secretariatul monitorizează realizarea achiziției de echipament pentru care au fost aprobate mijloace.</w:t>
      </w:r>
    </w:p>
    <w:p w:rsidR="00B94B6F" w:rsidRPr="00A92527" w:rsidRDefault="00B94B6F" w:rsidP="00B94B6F">
      <w:pPr>
        <w:shd w:val="clear" w:color="auto" w:fill="FFFFFF"/>
        <w:jc w:val="both"/>
        <w:rPr>
          <w:sz w:val="20"/>
          <w:szCs w:val="20"/>
        </w:rPr>
      </w:pPr>
      <w:r>
        <w:rPr>
          <w:sz w:val="20"/>
          <w:szCs w:val="20"/>
        </w:rPr>
        <w:t>Monitorizarea realizării cuprinde:</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informa Secretariatul despre realizarea achiziției de echipament, în termenele specificate în contract;</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vizite de monitorizare efectuate de către reprezentanţii Secretariatului;</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acces la documentația relevantă apărută pe parcursul realizării achiziției de echipament;</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rsidR="00B94B6F" w:rsidRPr="00A92527" w:rsidRDefault="00B94B6F" w:rsidP="00B94B6F">
      <w:pPr>
        <w:shd w:val="clear" w:color="auto" w:fill="FFFFFF"/>
        <w:ind w:firstLine="284"/>
        <w:jc w:val="both"/>
        <w:rPr>
          <w:sz w:val="20"/>
          <w:szCs w:val="20"/>
        </w:rPr>
      </w:pPr>
      <w:r>
        <w:rPr>
          <w:sz w:val="20"/>
          <w:szCs w:val="20"/>
        </w:rPr>
        <w:t>Semnatarul cererii este obligat să permită Secretariatului monitorizarea realizării achiziției de echipament.</w:t>
      </w:r>
    </w:p>
    <w:p w:rsidR="000212A0" w:rsidRPr="00A92527"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rsidR="00F83D63" w:rsidRPr="00A92527"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14</w:t>
      </w:r>
    </w:p>
    <w:p w:rsidR="00473CA2" w:rsidRPr="00A92527" w:rsidRDefault="00473CA2" w:rsidP="004B6BAC">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Cu scopul monitorizării realizării achiziţiei de echipament, Secretariatul poate realiza vizite de monitorizare.</w:t>
      </w:r>
    </w:p>
    <w:p w:rsidR="00473CA2" w:rsidRPr="00A92527" w:rsidRDefault="00473CA2" w:rsidP="004B6BAC">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Pentru realizarea achiziției de echipament a cărei durată este mai mare de șase luni și a cărei valoare a mijloacelor aprobate este mai mare de 500.000,00 dinari, precum și pentru achiziția de echipament care durează mai mult de un an, Secretariatul realizează cel puțin o vizită de monitorizare pe durata achiziției de echipament, respectiv cel puțin o dată pe an</w:t>
      </w:r>
    </w:p>
    <w:p w:rsidR="00857520" w:rsidRPr="00A92527" w:rsidRDefault="00473CA2" w:rsidP="00E9765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Secretariatul Provincial întocmește raportul privind vizita de monitorizarea în termen de 10 zile de la data realizării vizitei.</w:t>
      </w:r>
    </w:p>
    <w:p w:rsidR="00306291" w:rsidRPr="00A92527" w:rsidRDefault="00306291" w:rsidP="00857520">
      <w:pPr>
        <w:pStyle w:val="BodyText"/>
        <w:spacing w:line="230" w:lineRule="auto"/>
        <w:ind w:left="113" w:right="118" w:firstLine="355"/>
        <w:jc w:val="center"/>
        <w:rPr>
          <w:b/>
          <w:sz w:val="20"/>
          <w:szCs w:val="20"/>
        </w:rPr>
      </w:pPr>
      <w:r>
        <w:rPr>
          <w:b/>
          <w:sz w:val="20"/>
          <w:szCs w:val="20"/>
        </w:rPr>
        <w:t>Dispoziţii finale</w:t>
      </w:r>
    </w:p>
    <w:p w:rsidR="009E6661" w:rsidRPr="00A92527" w:rsidRDefault="00077BF8" w:rsidP="00857520">
      <w:pPr>
        <w:pStyle w:val="BodyText"/>
        <w:spacing w:line="230" w:lineRule="auto"/>
        <w:ind w:left="113" w:right="118" w:firstLine="355"/>
        <w:jc w:val="center"/>
        <w:rPr>
          <w:sz w:val="20"/>
          <w:szCs w:val="20"/>
        </w:rPr>
      </w:pPr>
      <w:r>
        <w:rPr>
          <w:sz w:val="20"/>
          <w:szCs w:val="20"/>
        </w:rPr>
        <w:t>Articolul 15</w:t>
      </w:r>
    </w:p>
    <w:p w:rsidR="00BF7D9E" w:rsidRPr="00A92527" w:rsidRDefault="00BF7D9E" w:rsidP="00E97652">
      <w:pPr>
        <w:jc w:val="both"/>
        <w:rPr>
          <w:sz w:val="20"/>
          <w:szCs w:val="20"/>
        </w:rPr>
      </w:pPr>
    </w:p>
    <w:p w:rsidR="00BF7D9E" w:rsidRPr="00A92527"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rsidR="00BF7D9E" w:rsidRPr="00A92527" w:rsidRDefault="00BF7D9E" w:rsidP="00857520">
      <w:pPr>
        <w:ind w:firstLine="468"/>
        <w:jc w:val="both"/>
        <w:rPr>
          <w:sz w:val="20"/>
          <w:szCs w:val="20"/>
        </w:rPr>
      </w:pPr>
    </w:p>
    <w:p w:rsidR="00BD0F91" w:rsidRDefault="00BD0F91" w:rsidP="00C925E8">
      <w:pPr>
        <w:ind w:firstLine="468"/>
        <w:jc w:val="both"/>
        <w:rPr>
          <w:sz w:val="20"/>
          <w:szCs w:val="20"/>
        </w:rPr>
      </w:pPr>
    </w:p>
    <w:p w:rsidR="009E6661" w:rsidRPr="00A92527" w:rsidRDefault="009E6661" w:rsidP="00857520">
      <w:pPr>
        <w:rPr>
          <w:sz w:val="20"/>
          <w:szCs w:val="20"/>
        </w:rPr>
      </w:pPr>
    </w:p>
    <w:p w:rsidR="009E6661" w:rsidRPr="00A92527" w:rsidRDefault="00077BF8" w:rsidP="00077BF8">
      <w:pPr>
        <w:jc w:val="center"/>
        <w:rPr>
          <w:sz w:val="20"/>
          <w:szCs w:val="20"/>
        </w:rPr>
      </w:pPr>
      <w:r>
        <w:rPr>
          <w:sz w:val="20"/>
          <w:szCs w:val="20"/>
        </w:rPr>
        <w:t>SECRETARIATUL PROVINCIAL PENTRU EDUCAŢIE, REGLEMENTĂRI, ADMINISTRAŢIE ŞI MINORITĂŢILE NAŢIONALE - COMUNITĂŢILE NAŢIONALE</w:t>
      </w:r>
    </w:p>
    <w:p w:rsidR="009E6661" w:rsidRPr="00A92527" w:rsidRDefault="009E6661" w:rsidP="00857520">
      <w:pPr>
        <w:rPr>
          <w:sz w:val="20"/>
          <w:szCs w:val="20"/>
        </w:rPr>
      </w:pPr>
    </w:p>
    <w:p w:rsidR="009E6661" w:rsidRPr="00A92527" w:rsidRDefault="009E6661" w:rsidP="00857520">
      <w:pPr>
        <w:rPr>
          <w:sz w:val="20"/>
          <w:szCs w:val="20"/>
        </w:rPr>
      </w:pPr>
    </w:p>
    <w:p w:rsidR="00077BF8" w:rsidRPr="00A92527" w:rsidRDefault="00077BF8" w:rsidP="00857520">
      <w:pPr>
        <w:rPr>
          <w:sz w:val="20"/>
          <w:szCs w:val="20"/>
        </w:rPr>
      </w:pPr>
      <w:r>
        <w:rPr>
          <w:sz w:val="20"/>
          <w:szCs w:val="20"/>
        </w:rPr>
        <w:t>Numărul: 003342946 2025 09427 001 001 000 001</w:t>
      </w:r>
    </w:p>
    <w:p w:rsidR="006420A7" w:rsidRPr="00A92527" w:rsidRDefault="00077BF8" w:rsidP="006420A7">
      <w:pPr>
        <w:rPr>
          <w:sz w:val="20"/>
          <w:szCs w:val="20"/>
        </w:rPr>
      </w:pPr>
      <w:r>
        <w:rPr>
          <w:sz w:val="20"/>
          <w:szCs w:val="20"/>
        </w:rPr>
        <w:t>Novi Sad, 01.08.2025</w:t>
      </w:r>
    </w:p>
    <w:p w:rsidR="006420A7" w:rsidRPr="00A92527" w:rsidRDefault="006420A7" w:rsidP="006420A7">
      <w:pPr>
        <w:widowControl/>
        <w:autoSpaceDE/>
        <w:autoSpaceDN/>
        <w:jc w:val="both"/>
        <w:rPr>
          <w:rFonts w:eastAsia="Times New Roman"/>
          <w:sz w:val="20"/>
          <w:szCs w:val="20"/>
        </w:rPr>
      </w:pPr>
      <w:r>
        <w:rPr>
          <w:sz w:val="20"/>
          <w:szCs w:val="20"/>
        </w:rPr>
        <w:lastRenderedPageBreak/>
        <w:t xml:space="preserve">                                                                                                                                             Secretar provincial</w:t>
      </w:r>
    </w:p>
    <w:p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rsidR="009E6661" w:rsidRPr="0063691E" w:rsidRDefault="005B54CA" w:rsidP="0063691E">
      <w:pPr>
        <w:widowControl/>
        <w:tabs>
          <w:tab w:val="center" w:pos="7200"/>
        </w:tabs>
        <w:autoSpaceDE/>
        <w:autoSpaceDN/>
        <w:rPr>
          <w:rFonts w:eastAsia="Times New Roman"/>
          <w:sz w:val="20"/>
          <w:szCs w:val="20"/>
        </w:rPr>
      </w:pPr>
      <w:r>
        <w:rPr>
          <w:sz w:val="20"/>
          <w:szCs w:val="20"/>
        </w:rPr>
        <w:t xml:space="preserve">               </w:t>
      </w:r>
    </w:p>
    <w:sectPr w:rsidR="009E6661" w:rsidRPr="0063691E" w:rsidSect="006E728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BD" w:rsidRDefault="00D97BBD" w:rsidP="000B2ACF">
      <w:r>
        <w:separator/>
      </w:r>
    </w:p>
  </w:endnote>
  <w:endnote w:type="continuationSeparator" w:id="0">
    <w:p w:rsidR="00D97BBD" w:rsidRDefault="00D97BBD" w:rsidP="000B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BD" w:rsidRDefault="00D97BBD" w:rsidP="000B2ACF">
      <w:r>
        <w:separator/>
      </w:r>
    </w:p>
  </w:footnote>
  <w:footnote w:type="continuationSeparator" w:id="0">
    <w:p w:rsidR="00D97BBD" w:rsidRDefault="00D97BBD" w:rsidP="000B2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E8205C3"/>
    <w:multiLevelType w:val="hybridMultilevel"/>
    <w:tmpl w:val="5066DBA8"/>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9F4DE2"/>
    <w:multiLevelType w:val="multilevel"/>
    <w:tmpl w:val="2258D27C"/>
    <w:lvl w:ilvl="0">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B2ACF"/>
    <w:rsid w:val="000D4163"/>
    <w:rsid w:val="000E4909"/>
    <w:rsid w:val="001135FD"/>
    <w:rsid w:val="0012255F"/>
    <w:rsid w:val="00151483"/>
    <w:rsid w:val="0016435F"/>
    <w:rsid w:val="001A663B"/>
    <w:rsid w:val="001D2708"/>
    <w:rsid w:val="00201DEA"/>
    <w:rsid w:val="002277E8"/>
    <w:rsid w:val="00232930"/>
    <w:rsid w:val="002907AC"/>
    <w:rsid w:val="00296313"/>
    <w:rsid w:val="002B256C"/>
    <w:rsid w:val="002D2469"/>
    <w:rsid w:val="002E0DC4"/>
    <w:rsid w:val="00306291"/>
    <w:rsid w:val="00331179"/>
    <w:rsid w:val="00375849"/>
    <w:rsid w:val="00386704"/>
    <w:rsid w:val="0040201D"/>
    <w:rsid w:val="00422898"/>
    <w:rsid w:val="00473CA2"/>
    <w:rsid w:val="00477441"/>
    <w:rsid w:val="00487308"/>
    <w:rsid w:val="004A2936"/>
    <w:rsid w:val="004B6BAC"/>
    <w:rsid w:val="004F595D"/>
    <w:rsid w:val="00594A85"/>
    <w:rsid w:val="005A1591"/>
    <w:rsid w:val="005B54CA"/>
    <w:rsid w:val="006052F7"/>
    <w:rsid w:val="006240BE"/>
    <w:rsid w:val="0063691E"/>
    <w:rsid w:val="006420A7"/>
    <w:rsid w:val="006E728C"/>
    <w:rsid w:val="00723F6C"/>
    <w:rsid w:val="007C6B91"/>
    <w:rsid w:val="008231DC"/>
    <w:rsid w:val="00841CDA"/>
    <w:rsid w:val="008553F0"/>
    <w:rsid w:val="00857520"/>
    <w:rsid w:val="00865828"/>
    <w:rsid w:val="00894F17"/>
    <w:rsid w:val="008B7DA8"/>
    <w:rsid w:val="008E6E7F"/>
    <w:rsid w:val="00935AB9"/>
    <w:rsid w:val="0098076F"/>
    <w:rsid w:val="009D0CD2"/>
    <w:rsid w:val="009E6661"/>
    <w:rsid w:val="009F24FC"/>
    <w:rsid w:val="009F2B0C"/>
    <w:rsid w:val="00A8150A"/>
    <w:rsid w:val="00A92527"/>
    <w:rsid w:val="00AB666A"/>
    <w:rsid w:val="00AC1981"/>
    <w:rsid w:val="00B01F26"/>
    <w:rsid w:val="00B028EF"/>
    <w:rsid w:val="00B77056"/>
    <w:rsid w:val="00B82D14"/>
    <w:rsid w:val="00B94B6F"/>
    <w:rsid w:val="00B97B8B"/>
    <w:rsid w:val="00BD0F91"/>
    <w:rsid w:val="00BF7D9E"/>
    <w:rsid w:val="00C34976"/>
    <w:rsid w:val="00C925E8"/>
    <w:rsid w:val="00D017CD"/>
    <w:rsid w:val="00D8680F"/>
    <w:rsid w:val="00D97BBD"/>
    <w:rsid w:val="00DC3220"/>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 w:type="paragraph" w:styleId="Header">
    <w:name w:val="header"/>
    <w:basedOn w:val="Normal"/>
    <w:link w:val="HeaderChar"/>
    <w:uiPriority w:val="99"/>
    <w:unhideWhenUsed/>
    <w:rsid w:val="000B2ACF"/>
    <w:pPr>
      <w:tabs>
        <w:tab w:val="center" w:pos="4680"/>
        <w:tab w:val="right" w:pos="9360"/>
      </w:tabs>
    </w:pPr>
  </w:style>
  <w:style w:type="character" w:customStyle="1" w:styleId="HeaderChar">
    <w:name w:val="Header Char"/>
    <w:basedOn w:val="DefaultParagraphFont"/>
    <w:link w:val="Header"/>
    <w:uiPriority w:val="99"/>
    <w:rsid w:val="000B2ACF"/>
    <w:rPr>
      <w:rFonts w:ascii="Calibri" w:eastAsia="Calibri" w:hAnsi="Calibri" w:cs="Calibri"/>
      <w:lang w:val="ro-RO"/>
    </w:rPr>
  </w:style>
  <w:style w:type="paragraph" w:styleId="Footer">
    <w:name w:val="footer"/>
    <w:basedOn w:val="Normal"/>
    <w:link w:val="FooterChar"/>
    <w:uiPriority w:val="99"/>
    <w:unhideWhenUsed/>
    <w:rsid w:val="000B2ACF"/>
    <w:pPr>
      <w:tabs>
        <w:tab w:val="center" w:pos="4680"/>
        <w:tab w:val="right" w:pos="9360"/>
      </w:tabs>
    </w:pPr>
  </w:style>
  <w:style w:type="character" w:customStyle="1" w:styleId="FooterChar">
    <w:name w:val="Footer Char"/>
    <w:basedOn w:val="DefaultParagraphFont"/>
    <w:link w:val="Footer"/>
    <w:uiPriority w:val="99"/>
    <w:rsid w:val="000B2ACF"/>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05578336">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Adrian Čoban</cp:lastModifiedBy>
  <cp:revision>8</cp:revision>
  <cp:lastPrinted>2023-02-14T13:32:00Z</cp:lastPrinted>
  <dcterms:created xsi:type="dcterms:W3CDTF">2025-07-28T07:02:00Z</dcterms:created>
  <dcterms:modified xsi:type="dcterms:W3CDTF">2025-07-31T13:12:00Z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