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Tr="00621288">
        <w:trPr>
          <w:trHeight w:val="1975"/>
        </w:trPr>
        <w:tc>
          <w:tcPr>
            <w:tcW w:w="2552" w:type="dxa"/>
          </w:tcPr>
          <w:p w:rsidR="00664892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Srbská republika</w:t>
            </w:r>
          </w:p>
          <w:p w:rsidR="00664892" w:rsidRDefault="00CA2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Vojvodina</w:t>
            </w:r>
          </w:p>
          <w:p w:rsidR="00664892" w:rsidRDefault="00CA2FD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sekretariát vzdelávania, predpisov, správy a národnostných menšín – národnostných spoločenstiev</w:t>
            </w:r>
          </w:p>
          <w:p w:rsidR="00664892" w:rsidRPr="00CA2FD3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Mihajla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Pupina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16, 21 000 Nový Sad</w:t>
            </w:r>
          </w:p>
          <w:p w:rsidR="00664892" w:rsidRPr="00CA2FD3" w:rsidRDefault="00CA2FD3" w:rsidP="004004E9">
            <w:pPr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T: +381 21 487 4452</w:t>
            </w:r>
          </w:p>
          <w:p w:rsidR="00664892" w:rsidRDefault="007D2611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o</w:t>
            </w:r>
            <w:r w:rsidR="00CA2FD3">
              <w:rPr>
                <w:rFonts w:ascii="Calibri" w:hAnsi="Calibri"/>
                <w:sz w:val="18"/>
                <w:szCs w:val="20"/>
              </w:rPr>
              <w:t>unz@vojvodina.gov.rs</w:t>
            </w:r>
          </w:p>
        </w:tc>
      </w:tr>
      <w:tr w:rsidR="00664892" w:rsidRPr="00621288" w:rsidTr="00621288">
        <w:trPr>
          <w:trHeight w:val="305"/>
        </w:trPr>
        <w:tc>
          <w:tcPr>
            <w:tcW w:w="2552" w:type="dxa"/>
          </w:tcPr>
          <w:p w:rsidR="00664892" w:rsidRPr="00621288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</w:tcPr>
          <w:p w:rsidR="00664892" w:rsidRPr="00703587" w:rsidRDefault="00CA2FD3" w:rsidP="0055552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Číslo: 00427228  2025 09427</w:t>
            </w:r>
          </w:p>
        </w:tc>
        <w:tc>
          <w:tcPr>
            <w:tcW w:w="2381" w:type="dxa"/>
          </w:tcPr>
          <w:p w:rsidR="00664892" w:rsidRPr="00621288" w:rsidRDefault="00CA2FD3" w:rsidP="0070358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DÁTUM: 12. 2. 2025</w:t>
            </w:r>
          </w:p>
        </w:tc>
      </w:tr>
    </w:tbl>
    <w:p w:rsidR="00664892" w:rsidRDefault="00664892">
      <w:pPr>
        <w:rPr>
          <w:rFonts w:ascii="Calibri" w:eastAsia="Calibri" w:hAnsi="Calibri" w:cs="Calibri"/>
          <w:sz w:val="22"/>
          <w:szCs w:val="22"/>
        </w:rPr>
      </w:pPr>
    </w:p>
    <w:p w:rsidR="007D2611" w:rsidRDefault="000C4ECD" w:rsidP="0055552E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Podľa článku 5 </w:t>
      </w:r>
      <w:proofErr w:type="spellStart"/>
      <w:r>
        <w:rPr>
          <w:rFonts w:ascii="Calibri" w:hAnsi="Calibri"/>
          <w:sz w:val="20"/>
        </w:rPr>
        <w:t>Pokrajinského</w:t>
      </w:r>
      <w:proofErr w:type="spellEnd"/>
      <w:r>
        <w:rPr>
          <w:rFonts w:ascii="Calibri" w:hAnsi="Calibri"/>
          <w:sz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rFonts w:ascii="Calibri" w:hAnsi="Calibri"/>
          <w:sz w:val="20"/>
        </w:rPr>
        <w:t>pokrajine</w:t>
      </w:r>
      <w:proofErr w:type="spellEnd"/>
      <w:r>
        <w:rPr>
          <w:rFonts w:ascii="Calibri" w:hAnsi="Calibri"/>
          <w:sz w:val="20"/>
        </w:rPr>
        <w:t xml:space="preserve"> Vojvodine (Úradný vestník APV č. 14/15 a 10/17), článku 24 odsek 2 </w:t>
      </w:r>
      <w:proofErr w:type="spellStart"/>
      <w:r>
        <w:rPr>
          <w:rFonts w:ascii="Calibri" w:hAnsi="Calibri"/>
          <w:sz w:val="20"/>
        </w:rPr>
        <w:t>Pokrajinského</w:t>
      </w:r>
      <w:proofErr w:type="spellEnd"/>
      <w:r>
        <w:rPr>
          <w:rFonts w:ascii="Calibri" w:hAnsi="Calibri"/>
          <w:sz w:val="20"/>
        </w:rPr>
        <w:t xml:space="preserve"> parlamentného uznesenia o </w:t>
      </w:r>
      <w:proofErr w:type="spellStart"/>
      <w:r>
        <w:rPr>
          <w:rFonts w:ascii="Calibri" w:hAnsi="Calibri"/>
          <w:sz w:val="20"/>
        </w:rPr>
        <w:t>pokrajinskej</w:t>
      </w:r>
      <w:proofErr w:type="spellEnd"/>
      <w:r>
        <w:rPr>
          <w:rFonts w:ascii="Calibri" w:hAnsi="Calibri"/>
          <w:sz w:val="20"/>
        </w:rPr>
        <w:t xml:space="preserve"> správe (Úradný vestník APV č. 37/2014, 54/2014 –  i. uznesenie, 37/16, 29/17, 24/19, 66/20 a 38/2021) a článku 2 Pravidiel pridelen</w:t>
      </w:r>
      <w:r w:rsidR="007D2611">
        <w:rPr>
          <w:rFonts w:ascii="Calibri" w:hAnsi="Calibri"/>
          <w:sz w:val="20"/>
        </w:rPr>
        <w:t>ia</w:t>
      </w:r>
      <w:r>
        <w:rPr>
          <w:rFonts w:ascii="Calibri" w:hAnsi="Calibri"/>
          <w:sz w:val="20"/>
        </w:rPr>
        <w:t xml:space="preserve"> rozpočtových prostriedkov </w:t>
      </w:r>
      <w:proofErr w:type="spellStart"/>
      <w:r>
        <w:rPr>
          <w:rFonts w:ascii="Calibri" w:hAnsi="Calibri"/>
          <w:sz w:val="20"/>
        </w:rPr>
        <w:t>Pokrajinského</w:t>
      </w:r>
      <w:proofErr w:type="spellEnd"/>
      <w:r>
        <w:rPr>
          <w:rFonts w:ascii="Calibri" w:hAnsi="Calibri"/>
          <w:sz w:val="20"/>
        </w:rPr>
        <w:t xml:space="preserve"> sekretariátu vzdelávania, predpisov, správy a národnostných menšín – národnostných spoločenstiev na financovanie a spolufinancovanie programov a projektov v oblasti základnej a stredoškolskej výchovy a vzdelávania v Autonómnej </w:t>
      </w:r>
      <w:proofErr w:type="spellStart"/>
      <w:r>
        <w:rPr>
          <w:rFonts w:ascii="Calibri" w:hAnsi="Calibri"/>
          <w:sz w:val="20"/>
        </w:rPr>
        <w:t>pokrajine</w:t>
      </w:r>
      <w:proofErr w:type="spellEnd"/>
      <w:r>
        <w:rPr>
          <w:rFonts w:ascii="Calibri" w:hAnsi="Calibri"/>
          <w:sz w:val="20"/>
        </w:rPr>
        <w:t xml:space="preserve"> 2025 Vojvodine (Úradný vestník APV  č. 8/2025)</w:t>
      </w:r>
    </w:p>
    <w:p w:rsidR="007D2611" w:rsidRDefault="007D2611" w:rsidP="0055552E">
      <w:pPr>
        <w:jc w:val="both"/>
        <w:rPr>
          <w:rFonts w:ascii="Calibri" w:hAnsi="Calibri"/>
          <w:sz w:val="20"/>
        </w:rPr>
      </w:pPr>
    </w:p>
    <w:p w:rsidR="000C4ECD" w:rsidRPr="000C4ECD" w:rsidRDefault="000C4ECD" w:rsidP="007D2611">
      <w:pPr>
        <w:ind w:firstLine="720"/>
        <w:jc w:val="both"/>
        <w:rPr>
          <w:rFonts w:ascii="Calibri" w:hAnsi="Calibri" w:cs="Calibri"/>
          <w:sz w:val="20"/>
        </w:rPr>
      </w:pPr>
      <w:proofErr w:type="spellStart"/>
      <w:r>
        <w:rPr>
          <w:rFonts w:ascii="Calibri" w:hAnsi="Calibri"/>
          <w:sz w:val="20"/>
        </w:rPr>
        <w:t>pokrajinský</w:t>
      </w:r>
      <w:proofErr w:type="spellEnd"/>
      <w:r>
        <w:rPr>
          <w:rFonts w:ascii="Calibri" w:hAnsi="Calibri"/>
          <w:sz w:val="20"/>
        </w:rPr>
        <w:t xml:space="preserve"> tajomník vzdelávania, predpisov, správy a národnostných menšín – národnostných spoločenstiev vypisuje </w:t>
      </w:r>
    </w:p>
    <w:p w:rsidR="00664892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664892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jdgxs"/>
      <w:bookmarkEnd w:id="0"/>
      <w:r>
        <w:rPr>
          <w:rFonts w:ascii="Calibri" w:hAnsi="Calibri"/>
          <w:b/>
          <w:color w:val="000000"/>
          <w:sz w:val="20"/>
          <w:szCs w:val="20"/>
        </w:rPr>
        <w:t xml:space="preserve">SÚBEH  </w:t>
      </w:r>
    </w:p>
    <w:p w:rsidR="000A672D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NA FINANCOVANIE A SPOLUFINANCOVANIE PROGRAMOV A PROJEKTOV V OBLASTI ZÁKLADNÉHO A STREDOŠKOLSKÉHO VZDELÁVA</w:t>
      </w:r>
      <w:r w:rsidR="007D2611">
        <w:rPr>
          <w:rFonts w:ascii="Calibri" w:hAnsi="Calibri"/>
          <w:b/>
          <w:color w:val="000000"/>
          <w:sz w:val="20"/>
          <w:szCs w:val="20"/>
        </w:rPr>
        <w:t>NIA V AP VOJVODINE NA ROK 202</w:t>
      </w:r>
      <w:r w:rsidR="00043D5D">
        <w:rPr>
          <w:rFonts w:ascii="Calibri" w:hAnsi="Calibri"/>
          <w:b/>
          <w:color w:val="000000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</w:t>
      </w:r>
    </w:p>
    <w:p w:rsidR="00664892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</w:t>
      </w:r>
    </w:p>
    <w:p w:rsidR="0055552E" w:rsidRPr="0055552E" w:rsidRDefault="0055552E" w:rsidP="0055552E">
      <w:pPr>
        <w:spacing w:after="60"/>
        <w:ind w:firstLine="56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Prostriedky zabezpečené </w:t>
      </w:r>
      <w:proofErr w:type="spellStart"/>
      <w:r>
        <w:rPr>
          <w:rFonts w:ascii="Calibri" w:hAnsi="Calibri"/>
          <w:sz w:val="20"/>
          <w:szCs w:val="20"/>
        </w:rPr>
        <w:t>Pokrajinským</w:t>
      </w:r>
      <w:proofErr w:type="spellEnd"/>
      <w:r>
        <w:rPr>
          <w:rFonts w:ascii="Calibri" w:hAnsi="Calibri"/>
          <w:sz w:val="20"/>
          <w:szCs w:val="20"/>
        </w:rPr>
        <w:t xml:space="preserve"> parlamentným uznesením o rozpočte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na rok 2025 na financovanie a spolufinancovanie programov a projektov na zvyšovanie kvality vzdelávania a výchovy v oblasti základného a stredoškolského vzdelávania v AP Vojvodine v roku 2025 sú vo výške </w:t>
      </w:r>
      <w:r>
        <w:rPr>
          <w:rFonts w:ascii="Calibri" w:hAnsi="Calibri"/>
          <w:b/>
          <w:bCs/>
          <w:sz w:val="20"/>
          <w:szCs w:val="20"/>
        </w:rPr>
        <w:t>25 000 000,00 dinárov.</w:t>
      </w: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ROZVRHNUTIE PROSTRIEDKOV</w:t>
      </w:r>
    </w:p>
    <w:p w:rsidR="000A672D" w:rsidRPr="00043D5D" w:rsidRDefault="000A672D" w:rsidP="007050F5">
      <w:pPr>
        <w:numPr>
          <w:ilvl w:val="0"/>
          <w:numId w:val="4"/>
        </w:numPr>
        <w:ind w:left="567" w:right="180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 w:rsidRPr="00043D5D">
        <w:rPr>
          <w:rFonts w:ascii="Calibri" w:hAnsi="Calibri"/>
          <w:b/>
          <w:sz w:val="20"/>
          <w:szCs w:val="20"/>
        </w:rPr>
        <w:t>Pre ustanovizne základného a</w:t>
      </w:r>
      <w:r w:rsidR="007D2611" w:rsidRPr="00043D5D">
        <w:rPr>
          <w:rFonts w:ascii="Calibri" w:hAnsi="Calibri"/>
          <w:b/>
          <w:sz w:val="20"/>
          <w:szCs w:val="20"/>
        </w:rPr>
        <w:t> </w:t>
      </w:r>
      <w:r w:rsidRPr="00043D5D">
        <w:rPr>
          <w:rFonts w:ascii="Calibri" w:hAnsi="Calibri"/>
          <w:b/>
          <w:sz w:val="20"/>
          <w:szCs w:val="20"/>
        </w:rPr>
        <w:t>stred</w:t>
      </w:r>
      <w:r w:rsidR="007D2611" w:rsidRPr="00043D5D">
        <w:rPr>
          <w:rFonts w:ascii="Calibri" w:hAnsi="Calibri"/>
          <w:b/>
          <w:sz w:val="20"/>
          <w:szCs w:val="20"/>
        </w:rPr>
        <w:t xml:space="preserve">oškolského </w:t>
      </w:r>
      <w:r w:rsidRPr="00043D5D">
        <w:rPr>
          <w:rFonts w:ascii="Calibri" w:hAnsi="Calibri"/>
          <w:b/>
          <w:sz w:val="20"/>
          <w:szCs w:val="20"/>
        </w:rPr>
        <w:t xml:space="preserve">vzdelávania a regionálne centrá </w:t>
      </w:r>
      <w:r w:rsidR="00043D5D">
        <w:rPr>
          <w:rFonts w:ascii="Calibri" w:hAnsi="Calibri"/>
          <w:b/>
          <w:sz w:val="20"/>
          <w:szCs w:val="20"/>
        </w:rPr>
        <w:t>p</w:t>
      </w:r>
      <w:r w:rsidRPr="00043D5D">
        <w:rPr>
          <w:rFonts w:ascii="Calibri" w:hAnsi="Calibri"/>
          <w:b/>
          <w:sz w:val="20"/>
          <w:szCs w:val="20"/>
        </w:rPr>
        <w:t>rofesionáln</w:t>
      </w:r>
      <w:r w:rsidR="00043D5D">
        <w:rPr>
          <w:rFonts w:ascii="Calibri" w:hAnsi="Calibri"/>
          <w:b/>
          <w:sz w:val="20"/>
          <w:szCs w:val="20"/>
        </w:rPr>
        <w:t>eho</w:t>
      </w:r>
      <w:r w:rsidRPr="00043D5D">
        <w:rPr>
          <w:rFonts w:ascii="Calibri" w:hAnsi="Calibri"/>
          <w:b/>
          <w:sz w:val="20"/>
          <w:szCs w:val="20"/>
        </w:rPr>
        <w:t xml:space="preserve"> rozvoj</w:t>
      </w:r>
      <w:r w:rsidR="00043D5D">
        <w:rPr>
          <w:rFonts w:ascii="Calibri" w:hAnsi="Calibri"/>
          <w:b/>
          <w:sz w:val="20"/>
          <w:szCs w:val="20"/>
        </w:rPr>
        <w:t>a</w:t>
      </w:r>
      <w:bookmarkStart w:id="1" w:name="_GoBack"/>
      <w:bookmarkEnd w:id="1"/>
      <w:r w:rsidRPr="00043D5D">
        <w:rPr>
          <w:rFonts w:ascii="Calibri" w:hAnsi="Calibri"/>
          <w:b/>
          <w:sz w:val="20"/>
          <w:szCs w:val="20"/>
        </w:rPr>
        <w:t xml:space="preserve"> zamestnancov vo vzdelávaní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pre programy a projekty základného vzdelávania – </w:t>
      </w:r>
      <w:r>
        <w:rPr>
          <w:rFonts w:ascii="Calibri" w:hAnsi="Calibri"/>
          <w:b/>
          <w:bCs/>
          <w:sz w:val="20"/>
          <w:szCs w:val="20"/>
        </w:rPr>
        <w:t>15 150 000,00 dinárov,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pre programy a projekty stredoškolského vzdelávania – </w:t>
      </w:r>
      <w:r>
        <w:rPr>
          <w:rFonts w:ascii="Calibri" w:hAnsi="Calibri"/>
          <w:b/>
          <w:bCs/>
          <w:sz w:val="20"/>
          <w:szCs w:val="20"/>
        </w:rPr>
        <w:t>5 237 000,00 dinárov,</w:t>
      </w:r>
    </w:p>
    <w:p w:rsidR="000A672D" w:rsidRPr="000A672D" w:rsidRDefault="000A672D" w:rsidP="000A672D">
      <w:pPr>
        <w:numPr>
          <w:ilvl w:val="0"/>
          <w:numId w:val="4"/>
        </w:numPr>
        <w:spacing w:before="120"/>
        <w:ind w:left="567" w:right="181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 združenia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pre programy a projekty na úrovni základného vzdelávania – </w:t>
      </w:r>
      <w:r>
        <w:rPr>
          <w:rFonts w:ascii="Calibri" w:hAnsi="Calibri"/>
          <w:b/>
          <w:bCs/>
          <w:sz w:val="20"/>
          <w:szCs w:val="20"/>
        </w:rPr>
        <w:t>2 850 000 , 00 dinárov,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b) pre programy a projekty na úrovni stredoškolského vzdelávania –</w:t>
      </w:r>
      <w:r w:rsidR="007D261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1 763 000,00 dinárov.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Právo zúčastniť sa na súbehu majú ustanovizne základného a stredoškolského vzdelávania na území AP Vojvodiny založené Srbskou republikou, autonómnou </w:t>
      </w:r>
      <w:proofErr w:type="spellStart"/>
      <w:r>
        <w:rPr>
          <w:rFonts w:ascii="Calibri" w:hAnsi="Calibri"/>
          <w:sz w:val="20"/>
          <w:szCs w:val="20"/>
        </w:rPr>
        <w:t>pokrajinou</w:t>
      </w:r>
      <w:proofErr w:type="spellEnd"/>
      <w:r>
        <w:rPr>
          <w:rFonts w:ascii="Calibri" w:hAnsi="Calibri"/>
          <w:sz w:val="20"/>
          <w:szCs w:val="20"/>
        </w:rPr>
        <w:t xml:space="preserve"> alebo jednotkou lokálnej samosprávy a regionálne centrá pre profesionálny rozvoj zamestnancov vo vzdelávaní so sídlom na území AP Vojvodiny, ako aj združenia so sídlom na území AP Vojvodiny, ktoré si </w:t>
      </w:r>
      <w:r w:rsidR="007D2611">
        <w:rPr>
          <w:rFonts w:ascii="Calibri" w:hAnsi="Calibri"/>
          <w:sz w:val="20"/>
          <w:szCs w:val="20"/>
        </w:rPr>
        <w:t xml:space="preserve">ako jeden z cieľov stanovami združenia </w:t>
      </w:r>
      <w:r>
        <w:rPr>
          <w:rFonts w:ascii="Calibri" w:hAnsi="Calibri"/>
          <w:sz w:val="20"/>
          <w:szCs w:val="20"/>
        </w:rPr>
        <w:t xml:space="preserve">určili aktivity v oblasti vzdelávania.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Finančnou podporou, ktorá sa </w:t>
      </w:r>
      <w:r w:rsidR="007D2611">
        <w:rPr>
          <w:rFonts w:ascii="Calibri" w:hAnsi="Calibri"/>
          <w:sz w:val="20"/>
          <w:szCs w:val="20"/>
        </w:rPr>
        <w:t xml:space="preserve">poskytuje </w:t>
      </w:r>
      <w:r>
        <w:rPr>
          <w:rFonts w:ascii="Calibri" w:hAnsi="Calibri"/>
          <w:sz w:val="20"/>
          <w:szCs w:val="20"/>
        </w:rPr>
        <w:t>týmto súbehom</w:t>
      </w:r>
      <w:r w:rsidR="007D2611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="007D2611">
        <w:rPr>
          <w:rFonts w:ascii="Calibri" w:hAnsi="Calibri"/>
          <w:sz w:val="20"/>
          <w:szCs w:val="20"/>
        </w:rPr>
        <w:t>sa presadzuje</w:t>
      </w:r>
      <w:r>
        <w:rPr>
          <w:rFonts w:ascii="Calibri" w:hAnsi="Calibri"/>
          <w:sz w:val="20"/>
          <w:szCs w:val="20"/>
        </w:rPr>
        <w:t xml:space="preserve"> alebo chráni verejný záujem určený ustanoveniami článk</w:t>
      </w:r>
      <w:r w:rsidR="007D2611">
        <w:rPr>
          <w:rFonts w:ascii="Calibri" w:hAnsi="Calibri"/>
          <w:sz w:val="20"/>
          <w:szCs w:val="20"/>
        </w:rPr>
        <w:t>ov</w:t>
      </w:r>
      <w:r>
        <w:rPr>
          <w:rFonts w:ascii="Calibri" w:hAnsi="Calibri"/>
          <w:sz w:val="20"/>
          <w:szCs w:val="20"/>
        </w:rPr>
        <w:t xml:space="preserve"> 6, 7, 8 a 9 Zákona o základoch systému výchovy a vzdelania (vestník </w:t>
      </w:r>
      <w:proofErr w:type="spellStart"/>
      <w:r>
        <w:rPr>
          <w:rFonts w:ascii="Calibri" w:hAnsi="Calibri"/>
          <w:sz w:val="20"/>
          <w:szCs w:val="20"/>
        </w:rPr>
        <w:t>Službeni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glasnik</w:t>
      </w:r>
      <w:proofErr w:type="spellEnd"/>
      <w:r>
        <w:rPr>
          <w:rFonts w:ascii="Calibri" w:hAnsi="Calibri"/>
          <w:sz w:val="20"/>
          <w:szCs w:val="20"/>
        </w:rPr>
        <w:t xml:space="preserve"> RS č. 88/2017, 27/2018 – iné zákony, 10/2019, 6/2020, 129/2021 a 92/2023).</w:t>
      </w:r>
    </w:p>
    <w:p w:rsidR="0055552E" w:rsidRPr="0055552E" w:rsidRDefault="007D2611" w:rsidP="0055552E">
      <w:pPr>
        <w:spacing w:before="60"/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Uvedené</w:t>
      </w:r>
      <w:r w:rsidR="0055552E">
        <w:rPr>
          <w:rFonts w:ascii="Calibri" w:hAnsi="Calibri"/>
          <w:sz w:val="20"/>
          <w:szCs w:val="20"/>
        </w:rPr>
        <w:t xml:space="preserve"> prostriedky sú určené na tieto priority:</w:t>
      </w:r>
    </w:p>
    <w:p w:rsidR="000A672D" w:rsidRPr="000A672D" w:rsidRDefault="000A672D" w:rsidP="000A672D">
      <w:pPr>
        <w:numPr>
          <w:ilvl w:val="0"/>
          <w:numId w:val="10"/>
        </w:numPr>
        <w:ind w:right="180"/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Modernizácia výchovno-vzdelávacej práce </w:t>
      </w:r>
    </w:p>
    <w:p w:rsidR="000A672D" w:rsidRPr="000A672D" w:rsidRDefault="007D2611" w:rsidP="000A672D">
      <w:pPr>
        <w:numPr>
          <w:ilvl w:val="0"/>
          <w:numId w:val="11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m</w:t>
      </w:r>
      <w:r w:rsidR="000A672D">
        <w:rPr>
          <w:rFonts w:ascii="Calibri" w:hAnsi="Calibri"/>
          <w:sz w:val="20"/>
          <w:szCs w:val="20"/>
        </w:rPr>
        <w:t>odernizácia vzdelávacieho procesu prostredníctvom inovácie a kreativity všetkých účastníkov, odborné zdokonaľovanie učiteľského kádra, popularizácii vzdelávania v médiách s dôrazom na kladné príklady z praxe a súčasné trendy vo vzdelávaní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Prispôsobenie vzdelávania potrebám trhu práce </w:t>
      </w:r>
    </w:p>
    <w:p w:rsidR="000A672D" w:rsidRP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zlepšenie podnikateľského ducha, rozvoj praktických a životných zručností;     </w:t>
      </w:r>
    </w:p>
    <w:p w:rsid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profesionálna orientácia a </w:t>
      </w:r>
      <w:proofErr w:type="spellStart"/>
      <w:r>
        <w:rPr>
          <w:rFonts w:ascii="Calibri" w:hAnsi="Calibri"/>
          <w:sz w:val="20"/>
          <w:szCs w:val="20"/>
        </w:rPr>
        <w:t>kariérové</w:t>
      </w:r>
      <w:proofErr w:type="spellEnd"/>
      <w:r>
        <w:rPr>
          <w:rFonts w:ascii="Calibri" w:hAnsi="Calibri"/>
          <w:sz w:val="20"/>
          <w:szCs w:val="20"/>
        </w:rPr>
        <w:t xml:space="preserve"> poradenstvo, zvyšovanie kvality odbornej praxe.</w:t>
      </w: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Pestovanie </w:t>
      </w:r>
      <w:proofErr w:type="spellStart"/>
      <w:r>
        <w:rPr>
          <w:rFonts w:ascii="Calibri" w:hAnsi="Calibri"/>
          <w:b/>
          <w:sz w:val="20"/>
          <w:szCs w:val="20"/>
        </w:rPr>
        <w:t>multikultúrnosti</w:t>
      </w:r>
      <w:proofErr w:type="spellEnd"/>
      <w:r>
        <w:rPr>
          <w:rFonts w:ascii="Calibri" w:hAnsi="Calibri"/>
          <w:b/>
          <w:sz w:val="20"/>
          <w:szCs w:val="20"/>
        </w:rPr>
        <w:t>/</w:t>
      </w:r>
      <w:proofErr w:type="spellStart"/>
      <w:r>
        <w:rPr>
          <w:rFonts w:ascii="Calibri" w:hAnsi="Calibri"/>
          <w:b/>
          <w:sz w:val="20"/>
          <w:szCs w:val="20"/>
        </w:rPr>
        <w:t>interkultúrnosti</w:t>
      </w:r>
      <w:proofErr w:type="spellEnd"/>
      <w:r>
        <w:rPr>
          <w:rFonts w:ascii="Calibri" w:hAnsi="Calibri"/>
          <w:b/>
          <w:sz w:val="20"/>
          <w:szCs w:val="20"/>
        </w:rPr>
        <w:t xml:space="preserve"> a tradície, materinského jazyka príslušníkov národnostných menšín – národnostných spoločenstiev</w:t>
      </w:r>
      <w:r>
        <w:rPr>
          <w:rFonts w:ascii="Calibri" w:hAnsi="Calibri"/>
          <w:sz w:val="20"/>
          <w:szCs w:val="20"/>
        </w:rPr>
        <w:t xml:space="preserve"> </w:t>
      </w:r>
    </w:p>
    <w:p w:rsidR="000A672D" w:rsidRPr="00E1033D" w:rsidRDefault="000A672D" w:rsidP="00F56D3E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E1033D">
        <w:rPr>
          <w:rFonts w:ascii="Calibri" w:hAnsi="Calibri"/>
          <w:sz w:val="20"/>
          <w:szCs w:val="20"/>
        </w:rPr>
        <w:t>vytváranie podmienok</w:t>
      </w:r>
      <w:r w:rsidR="007D2611" w:rsidRPr="00E1033D">
        <w:rPr>
          <w:rFonts w:ascii="Calibri" w:hAnsi="Calibri"/>
          <w:sz w:val="20"/>
          <w:szCs w:val="20"/>
        </w:rPr>
        <w:t xml:space="preserve"> na lepšie vzájomné spoznávanie a získavanie nových poznatkov o histórii, kultúre a ďalších dôležitých skutočnostiach o spolunažívaní, posilnení dôvery medzi etnikami</w:t>
      </w:r>
      <w:r w:rsidR="00E1033D" w:rsidRPr="00E1033D">
        <w:rPr>
          <w:rFonts w:ascii="Calibri" w:hAnsi="Calibri"/>
          <w:sz w:val="20"/>
          <w:szCs w:val="20"/>
        </w:rPr>
        <w:t xml:space="preserve"> medzi žiakmi príslušníkmi rôznych národnostných spoločenstiev.</w:t>
      </w:r>
      <w:r w:rsidRPr="00E1033D">
        <w:rPr>
          <w:rFonts w:ascii="Calibri" w:hAnsi="Calibri"/>
          <w:sz w:val="20"/>
          <w:szCs w:val="20"/>
        </w:rPr>
        <w:t xml:space="preserve"> </w:t>
      </w:r>
    </w:p>
    <w:p w:rsidR="00E1033D" w:rsidRPr="00E1033D" w:rsidRDefault="00E1033D" w:rsidP="00E1033D">
      <w:pPr>
        <w:spacing w:after="200" w:line="276" w:lineRule="auto"/>
        <w:ind w:left="135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Podporovanie </w:t>
      </w:r>
      <w:proofErr w:type="spellStart"/>
      <w:r>
        <w:rPr>
          <w:rFonts w:ascii="Calibri" w:hAnsi="Calibri"/>
          <w:b/>
          <w:sz w:val="20"/>
          <w:szCs w:val="20"/>
        </w:rPr>
        <w:t>inkluzívneho</w:t>
      </w:r>
      <w:proofErr w:type="spellEnd"/>
      <w:r>
        <w:rPr>
          <w:rFonts w:ascii="Calibri" w:hAnsi="Calibri"/>
          <w:b/>
          <w:sz w:val="20"/>
          <w:szCs w:val="20"/>
        </w:rPr>
        <w:t xml:space="preserve"> vzdelávania a predchádzanie predčasnému </w:t>
      </w:r>
      <w:r w:rsidR="00E1033D">
        <w:rPr>
          <w:rFonts w:ascii="Calibri" w:hAnsi="Calibri"/>
          <w:b/>
          <w:sz w:val="20"/>
          <w:szCs w:val="20"/>
        </w:rPr>
        <w:t>opusteniu</w:t>
      </w:r>
      <w:r>
        <w:rPr>
          <w:rFonts w:ascii="Calibri" w:hAnsi="Calibri"/>
          <w:b/>
          <w:sz w:val="20"/>
          <w:szCs w:val="20"/>
        </w:rPr>
        <w:t xml:space="preserve"> formálneho vzdelávania 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spoločenské začlenenie a rozvoj žiakov (s vývojovým postihnutím, špecifickými poruchami učenia a žiakov zo sociálne citlivých skupín), ako aj predchádzanie predčasnému </w:t>
      </w:r>
      <w:r w:rsidR="00E1033D">
        <w:rPr>
          <w:rFonts w:ascii="Calibri" w:hAnsi="Calibri"/>
          <w:sz w:val="20"/>
          <w:szCs w:val="20"/>
        </w:rPr>
        <w:t>opusteniu</w:t>
      </w:r>
      <w:r>
        <w:rPr>
          <w:rFonts w:ascii="Calibri" w:hAnsi="Calibri"/>
          <w:sz w:val="20"/>
          <w:szCs w:val="20"/>
        </w:rPr>
        <w:t xml:space="preserve"> formálneho vzdelávania;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podpora žiakov s výnimočnými schopnosťami, rozvoj talentov v súlade so ich výchovno-vzdelávacími potrebami (prispôsobením spôsobov a podmienok práce, obohacovaním a rozširovaním učebného obsahu, súťaženiami žiakov neorganizovanými Ministerstvom školstva, vedy a technologického rozvoja (medziregionálne, medzinárodné).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Podpora mimoškolských aktivít</w:t>
      </w:r>
    </w:p>
    <w:p w:rsidR="000A672D" w:rsidRPr="000A672D" w:rsidRDefault="000A672D" w:rsidP="000A672D">
      <w:pPr>
        <w:numPr>
          <w:ilvl w:val="0"/>
          <w:numId w:val="14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usporiadané a odborné usmerňovanie voľného času žiakov v mimoškolských obdobiach a počas školských prázdnin prostredníctvom vzdelávacích táborov, stretnutí žiakov, </w:t>
      </w:r>
      <w:r w:rsidR="00E1033D">
        <w:rPr>
          <w:rFonts w:ascii="Calibri" w:hAnsi="Calibri"/>
          <w:sz w:val="20"/>
          <w:szCs w:val="20"/>
        </w:rPr>
        <w:t>krúžkov</w:t>
      </w:r>
      <w:r>
        <w:rPr>
          <w:rFonts w:ascii="Calibri" w:hAnsi="Calibri"/>
          <w:sz w:val="20"/>
          <w:szCs w:val="20"/>
        </w:rPr>
        <w:t xml:space="preserve">, športových, vedeckých a technických, kultúrnych a iných obsahov). </w:t>
      </w:r>
    </w:p>
    <w:p w:rsidR="000A672D" w:rsidRPr="000A672D" w:rsidRDefault="000A672D" w:rsidP="000A672D">
      <w:pPr>
        <w:ind w:right="180"/>
        <w:jc w:val="center"/>
        <w:rPr>
          <w:rFonts w:ascii="Calibri" w:hAnsi="Calibri" w:cs="Calibri"/>
          <w:noProof/>
          <w:sz w:val="20"/>
          <w:szCs w:val="20"/>
          <w:lang w:val="sr-Cyrl-RS"/>
        </w:rPr>
      </w:pP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KRITÉRIÁ PRIDELENIA FINANČNÝCH PROSTRIEDKOV</w:t>
      </w:r>
    </w:p>
    <w:p w:rsidR="0055552E" w:rsidRDefault="0055552E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 určovaní výšky </w:t>
      </w:r>
      <w:r w:rsidR="00E1033D">
        <w:rPr>
          <w:rFonts w:ascii="Calibri" w:hAnsi="Calibri"/>
          <w:sz w:val="20"/>
          <w:szCs w:val="20"/>
        </w:rPr>
        <w:t xml:space="preserve">finančných </w:t>
      </w:r>
      <w:r>
        <w:rPr>
          <w:rFonts w:ascii="Calibri" w:hAnsi="Calibri"/>
          <w:sz w:val="20"/>
          <w:szCs w:val="20"/>
        </w:rPr>
        <w:t xml:space="preserve">prostriedkov </w:t>
      </w:r>
      <w:r w:rsidR="00E1033D">
        <w:rPr>
          <w:rFonts w:ascii="Calibri" w:hAnsi="Calibri"/>
          <w:sz w:val="20"/>
          <w:szCs w:val="20"/>
        </w:rPr>
        <w:t>na pridelenie uplatňujú sa</w:t>
      </w:r>
      <w:r>
        <w:rPr>
          <w:rFonts w:ascii="Calibri" w:hAnsi="Calibri"/>
          <w:sz w:val="20"/>
          <w:szCs w:val="20"/>
        </w:rPr>
        <w:t xml:space="preserve"> tieto kritériá:</w:t>
      </w:r>
    </w:p>
    <w:p w:rsidR="003C4044" w:rsidRDefault="003C4044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</w:tblGrid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ind w:left="-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Ciele a aktivity programu/projektu sú v súlade s prioritami súbehu;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Ciele programu/projektu sú jasné, konkrétne a dosiahnuteľné;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Aktivity sú reálne a primerané na dosiahnutie cieľov;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Uplatnený je inovačný prístup pri plánovaní aktivít, ktorými sa prenášajú vedomosti a skúsenosti škôl a občianskych združení do širšej komunity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Zviditeľnenie programu/projektu;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Udržateľnosť výsledkov programu/projektu;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E1033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Zapojenie partnerských inštitúcií do </w:t>
            </w:r>
            <w:r w:rsidR="00E1033D">
              <w:rPr>
                <w:rFonts w:ascii="Calibri" w:hAnsi="Calibri"/>
                <w:sz w:val="20"/>
                <w:szCs w:val="20"/>
              </w:rPr>
              <w:t>realizácie</w:t>
            </w:r>
            <w:r>
              <w:rPr>
                <w:rFonts w:ascii="Calibri" w:hAnsi="Calibri"/>
                <w:sz w:val="20"/>
                <w:szCs w:val="20"/>
              </w:rPr>
              <w:t xml:space="preserve"> programu/projektu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E1033D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Predchádzajúce skúsenosti s realizáciou programov/projektov, ktoré prispievajú k zlepšeniu výchovno-vzdelávacej práce.</w:t>
            </w:r>
          </w:p>
        </w:tc>
      </w:tr>
    </w:tbl>
    <w:p w:rsidR="0055552E" w:rsidRPr="0055552E" w:rsidRDefault="0055552E" w:rsidP="000A672D">
      <w:pPr>
        <w:ind w:left="567"/>
        <w:contextualSpacing/>
        <w:jc w:val="both"/>
        <w:rPr>
          <w:rFonts w:ascii="Calibri" w:hAnsi="Calibri"/>
          <w:sz w:val="20"/>
          <w:szCs w:val="20"/>
          <w:u w:val="single"/>
        </w:rPr>
      </w:pPr>
    </w:p>
    <w:p w:rsidR="0055552E" w:rsidRPr="0055552E" w:rsidRDefault="0055552E" w:rsidP="0055552E">
      <w:pPr>
        <w:spacing w:before="120" w:after="120"/>
        <w:ind w:right="181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SPÔSOB APLIKOVANIA</w:t>
      </w:r>
    </w:p>
    <w:p w:rsidR="00AC3E3B" w:rsidRDefault="00AC3E3B" w:rsidP="0055552E">
      <w:pPr>
        <w:spacing w:before="60"/>
        <w:ind w:firstLine="708"/>
        <w:jc w:val="both"/>
        <w:rPr>
          <w:rFonts w:ascii="Calibri" w:hAnsi="Calibri"/>
          <w:b/>
          <w:sz w:val="20"/>
          <w:szCs w:val="20"/>
        </w:rPr>
      </w:pPr>
    </w:p>
    <w:p w:rsidR="00AC3E3B" w:rsidRPr="00AC3E3B" w:rsidRDefault="00AC3E3B" w:rsidP="00AC3E3B">
      <w:pPr>
        <w:spacing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Žiadosti o pridelenie finančných prostriedkov sa predkladajú na jednotnom súbehovom tlačive sekretariátu.  </w:t>
      </w:r>
    </w:p>
    <w:p w:rsidR="00AC3E3B" w:rsidRDefault="00E1033D" w:rsidP="00AC3E3B">
      <w:pPr>
        <w:spacing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Každá</w:t>
      </w:r>
      <w:r w:rsidR="00AC3E3B">
        <w:rPr>
          <w:rFonts w:ascii="Calibri" w:hAnsi="Calibri"/>
          <w:b/>
          <w:sz w:val="20"/>
          <w:szCs w:val="20"/>
        </w:rPr>
        <w:t xml:space="preserve"> právnická osoba môže predložiť </w:t>
      </w:r>
      <w:r>
        <w:rPr>
          <w:rFonts w:ascii="Calibri" w:hAnsi="Calibri"/>
          <w:b/>
          <w:sz w:val="20"/>
          <w:szCs w:val="20"/>
        </w:rPr>
        <w:t>najviac</w:t>
      </w:r>
      <w:r w:rsidR="00AC3E3B">
        <w:rPr>
          <w:rFonts w:ascii="Calibri" w:hAnsi="Calibri"/>
          <w:b/>
          <w:sz w:val="20"/>
          <w:szCs w:val="20"/>
        </w:rPr>
        <w:t xml:space="preserve"> dve prihlášky</w:t>
      </w:r>
      <w:r>
        <w:rPr>
          <w:rFonts w:ascii="Calibri" w:hAnsi="Calibri"/>
          <w:b/>
          <w:sz w:val="20"/>
          <w:szCs w:val="20"/>
        </w:rPr>
        <w:t>.</w:t>
      </w:r>
      <w:r w:rsidR="00AC3E3B">
        <w:rPr>
          <w:rFonts w:ascii="Calibri" w:hAnsi="Calibri"/>
          <w:b/>
          <w:sz w:val="20"/>
          <w:szCs w:val="20"/>
        </w:rPr>
        <w:t xml:space="preserve"> </w:t>
      </w:r>
      <w:r w:rsidR="00AC3E3B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polu s</w:t>
      </w:r>
      <w:r w:rsidR="00AC3E3B">
        <w:rPr>
          <w:rFonts w:ascii="Calibri" w:hAnsi="Calibri"/>
          <w:sz w:val="20"/>
          <w:szCs w:val="20"/>
        </w:rPr>
        <w:t xml:space="preserve"> prihláškou na súbeh sa predkladá nasledovná dokumentácia: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fotokópia rozhodnutia о zápise do registra v agentúre obchodných registrov pre združenia,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kópia potvrdenia o daňovom identifikačnom čísle, </w:t>
      </w:r>
    </w:p>
    <w:p w:rsidR="00AC3E3B" w:rsidRDefault="00AC3E3B" w:rsidP="00AC3E3B">
      <w:pPr>
        <w:tabs>
          <w:tab w:val="left" w:pos="567"/>
        </w:tabs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 </w:t>
      </w:r>
      <w:r>
        <w:rPr>
          <w:rFonts w:ascii="Calibri" w:hAnsi="Calibri"/>
          <w:sz w:val="20"/>
          <w:szCs w:val="20"/>
        </w:rPr>
        <w:tab/>
        <w:t xml:space="preserve">fotokópiu výpisu zo </w:t>
      </w:r>
      <w:r w:rsidR="00E1033D">
        <w:rPr>
          <w:rFonts w:ascii="Calibri" w:hAnsi="Calibri"/>
          <w:sz w:val="20"/>
          <w:szCs w:val="20"/>
        </w:rPr>
        <w:t>stanov</w:t>
      </w:r>
      <w:r>
        <w:rPr>
          <w:rFonts w:ascii="Calibri" w:hAnsi="Calibri"/>
          <w:sz w:val="20"/>
          <w:szCs w:val="20"/>
        </w:rPr>
        <w:t xml:space="preserve"> združenia alebo zakladateľského aktu (v ktorom sa stanovuje, že ciele združenia sú realizované v oblasti špecifikovanej v súbehu) overená združením.  </w:t>
      </w:r>
    </w:p>
    <w:p w:rsidR="003C4044" w:rsidRDefault="00AC3E3B" w:rsidP="00AC3E3B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</w:t>
      </w:r>
    </w:p>
    <w:p w:rsidR="00AC3E3B" w:rsidRDefault="00AC3E3B" w:rsidP="00AC3E3B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Komisia nebude rozoberať: neúplné prihlášky, </w:t>
      </w:r>
      <w:r w:rsidR="00E1033D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>neskor</w:t>
      </w:r>
      <w:r w:rsidR="00E1033D">
        <w:rPr>
          <w:rFonts w:ascii="Calibri" w:hAnsi="Calibri"/>
          <w:sz w:val="20"/>
          <w:szCs w:val="20"/>
        </w:rPr>
        <w:t>ené</w:t>
      </w:r>
      <w:r>
        <w:rPr>
          <w:rFonts w:ascii="Calibri" w:hAnsi="Calibri"/>
          <w:sz w:val="20"/>
          <w:szCs w:val="20"/>
        </w:rPr>
        <w:t xml:space="preserve"> prihlášky, </w:t>
      </w:r>
      <w:r w:rsidR="00E1033D">
        <w:rPr>
          <w:rFonts w:ascii="Calibri" w:hAnsi="Calibri"/>
          <w:sz w:val="20"/>
          <w:szCs w:val="20"/>
        </w:rPr>
        <w:t>nedovolené</w:t>
      </w:r>
      <w:r>
        <w:rPr>
          <w:rFonts w:ascii="Calibri" w:hAnsi="Calibri"/>
          <w:sz w:val="20"/>
          <w:szCs w:val="20"/>
        </w:rPr>
        <w:t xml:space="preserve"> prihlášky  (prihlášky</w:t>
      </w:r>
      <w:r w:rsidR="00E1033D">
        <w:rPr>
          <w:rFonts w:ascii="Calibri" w:hAnsi="Calibri"/>
          <w:sz w:val="20"/>
          <w:szCs w:val="20"/>
        </w:rPr>
        <w:t>, ktoré podali neoprávnené osoby, či</w:t>
      </w:r>
      <w:r>
        <w:rPr>
          <w:rFonts w:ascii="Calibri" w:hAnsi="Calibri"/>
          <w:sz w:val="20"/>
          <w:szCs w:val="20"/>
        </w:rPr>
        <w:t xml:space="preserve"> subjekt</w:t>
      </w:r>
      <w:r w:rsidR="00E1033D">
        <w:rPr>
          <w:rFonts w:ascii="Calibri" w:hAnsi="Calibri"/>
          <w:sz w:val="20"/>
          <w:szCs w:val="20"/>
        </w:rPr>
        <w:t>y</w:t>
      </w:r>
      <w:r>
        <w:rPr>
          <w:rFonts w:ascii="Calibri" w:hAnsi="Calibri"/>
          <w:sz w:val="20"/>
          <w:szCs w:val="20"/>
        </w:rPr>
        <w:t xml:space="preserve">, ktoré </w:t>
      </w:r>
      <w:r w:rsidR="00E1033D">
        <w:rPr>
          <w:rFonts w:ascii="Calibri" w:hAnsi="Calibri"/>
          <w:sz w:val="20"/>
          <w:szCs w:val="20"/>
        </w:rPr>
        <w:t>nie sú</w:t>
      </w:r>
      <w:r>
        <w:rPr>
          <w:rFonts w:ascii="Calibri" w:hAnsi="Calibri"/>
          <w:sz w:val="20"/>
          <w:szCs w:val="20"/>
        </w:rPr>
        <w:t xml:space="preserve"> </w:t>
      </w:r>
      <w:r w:rsidR="00E1033D">
        <w:rPr>
          <w:rFonts w:ascii="Calibri" w:hAnsi="Calibri"/>
          <w:sz w:val="20"/>
          <w:szCs w:val="20"/>
        </w:rPr>
        <w:t>plánované</w:t>
      </w:r>
      <w:r>
        <w:rPr>
          <w:rFonts w:ascii="Calibri" w:hAnsi="Calibri"/>
          <w:sz w:val="20"/>
          <w:szCs w:val="20"/>
        </w:rPr>
        <w:t xml:space="preserve"> súbehom), prihlášky, ktoré sa nevzťahujú na súbehom </w:t>
      </w:r>
      <w:r w:rsidR="00E1033D">
        <w:rPr>
          <w:rFonts w:ascii="Calibri" w:hAnsi="Calibri"/>
          <w:sz w:val="20"/>
          <w:szCs w:val="20"/>
        </w:rPr>
        <w:t>určené účely</w:t>
      </w:r>
      <w:r>
        <w:rPr>
          <w:rFonts w:ascii="Calibri" w:hAnsi="Calibri"/>
          <w:sz w:val="20"/>
          <w:szCs w:val="20"/>
        </w:rPr>
        <w:t>, prihlášky týkajúce sa obstarania alebo údržby zariadení vo funkcii realizácie projektu, prihlášky užívateľov, ktorí v</w:t>
      </w:r>
      <w:r w:rsidR="00E1033D">
        <w:rPr>
          <w:rFonts w:ascii="Calibri" w:hAnsi="Calibri"/>
          <w:sz w:val="20"/>
          <w:szCs w:val="20"/>
        </w:rPr>
        <w:t> predchádzajúcom období</w:t>
      </w:r>
      <w:r>
        <w:rPr>
          <w:rFonts w:ascii="Calibri" w:hAnsi="Calibri"/>
          <w:sz w:val="20"/>
          <w:szCs w:val="20"/>
        </w:rPr>
        <w:t xml:space="preserve"> </w:t>
      </w:r>
      <w:r w:rsidR="00EC15AF">
        <w:rPr>
          <w:rFonts w:ascii="Calibri" w:hAnsi="Calibri"/>
          <w:sz w:val="20"/>
          <w:szCs w:val="20"/>
        </w:rPr>
        <w:t>nedokladovali</w:t>
      </w:r>
      <w:r>
        <w:rPr>
          <w:rFonts w:ascii="Calibri" w:hAnsi="Calibri"/>
          <w:sz w:val="20"/>
          <w:szCs w:val="20"/>
        </w:rPr>
        <w:t xml:space="preserve"> pridelené finančné prostriedky finančný</w:t>
      </w:r>
      <w:r w:rsidR="00EC15AF">
        <w:rPr>
          <w:rFonts w:ascii="Calibri" w:hAnsi="Calibri"/>
          <w:sz w:val="20"/>
          <w:szCs w:val="20"/>
        </w:rPr>
        <w:t>mi</w:t>
      </w:r>
      <w:r>
        <w:rPr>
          <w:rFonts w:ascii="Calibri" w:hAnsi="Calibri"/>
          <w:sz w:val="20"/>
          <w:szCs w:val="20"/>
        </w:rPr>
        <w:t xml:space="preserve"> a opisn</w:t>
      </w:r>
      <w:r w:rsidR="00EC15AF">
        <w:rPr>
          <w:rFonts w:ascii="Calibri" w:hAnsi="Calibri"/>
          <w:sz w:val="20"/>
          <w:szCs w:val="20"/>
        </w:rPr>
        <w:t>ými</w:t>
      </w:r>
      <w:r>
        <w:rPr>
          <w:rFonts w:ascii="Calibri" w:hAnsi="Calibri"/>
          <w:sz w:val="20"/>
          <w:szCs w:val="20"/>
        </w:rPr>
        <w:t xml:space="preserve"> správ</w:t>
      </w:r>
      <w:r w:rsidR="00EC15AF">
        <w:rPr>
          <w:rFonts w:ascii="Calibri" w:hAnsi="Calibri"/>
          <w:sz w:val="20"/>
          <w:szCs w:val="20"/>
        </w:rPr>
        <w:t>ami</w:t>
      </w:r>
      <w:r>
        <w:rPr>
          <w:rFonts w:ascii="Calibri" w:hAnsi="Calibri"/>
          <w:sz w:val="20"/>
          <w:szCs w:val="20"/>
        </w:rPr>
        <w:t>, prihlášky užívateľov, ktorí opisnú/ finančnú správu o realizácii programov/projektov z predchádzajúceho súbehového obdobia nedodali  v plánovaných lehotách, programy, resp. projekty, ktoré nemôžu byť prevažne realizované v priebehu bežného rozpočtového roka.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. </w:t>
      </w:r>
    </w:p>
    <w:p w:rsidR="00AC3E3B" w:rsidRPr="00AC3E3B" w:rsidRDefault="00EC15AF" w:rsidP="00AC3E3B">
      <w:pPr>
        <w:spacing w:before="60"/>
        <w:ind w:firstLine="708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Dodatočné</w:t>
      </w:r>
      <w:r w:rsidR="00AC3E3B">
        <w:rPr>
          <w:rFonts w:asciiTheme="majorHAnsi" w:hAnsiTheme="majorHAnsi"/>
          <w:b/>
          <w:sz w:val="20"/>
          <w:szCs w:val="20"/>
        </w:rPr>
        <w:t xml:space="preserve"> informácie týkajúce sa realizácie súbehu je možné získať telefonicky na čísle 021/487-4876. </w:t>
      </w:r>
    </w:p>
    <w:p w:rsidR="00AC3E3B" w:rsidRPr="00AC3E3B" w:rsidRDefault="00AC3E3B" w:rsidP="00AC3E3B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</w:t>
      </w:r>
      <w:r>
        <w:rPr>
          <w:rFonts w:asciiTheme="majorHAnsi" w:hAnsiTheme="majorHAnsi"/>
          <w:sz w:val="20"/>
          <w:szCs w:val="20"/>
        </w:rPr>
        <w:t xml:space="preserve">O pridelení finančných prostriedkov príjemcom rozhoduje </w:t>
      </w:r>
      <w:proofErr w:type="spellStart"/>
      <w:r>
        <w:rPr>
          <w:rFonts w:asciiTheme="majorHAnsi" w:hAnsiTheme="majorHAnsi"/>
          <w:sz w:val="20"/>
          <w:szCs w:val="20"/>
        </w:rPr>
        <w:t>pokrajinský</w:t>
      </w:r>
      <w:proofErr w:type="spellEnd"/>
      <w:r>
        <w:rPr>
          <w:rFonts w:asciiTheme="majorHAnsi" w:hAnsiTheme="majorHAnsi"/>
          <w:sz w:val="20"/>
          <w:szCs w:val="20"/>
        </w:rPr>
        <w:t xml:space="preserve"> tajomník zodpovedný za </w:t>
      </w:r>
      <w:r w:rsidR="00EC15AF">
        <w:rPr>
          <w:rFonts w:asciiTheme="majorHAnsi" w:hAnsiTheme="majorHAnsi"/>
          <w:sz w:val="20"/>
          <w:szCs w:val="20"/>
        </w:rPr>
        <w:t xml:space="preserve">úkony </w:t>
      </w:r>
      <w:r>
        <w:rPr>
          <w:rFonts w:asciiTheme="majorHAnsi" w:hAnsiTheme="majorHAnsi"/>
          <w:sz w:val="20"/>
          <w:szCs w:val="20"/>
        </w:rPr>
        <w:t>vzdeláva</w:t>
      </w:r>
      <w:r w:rsidR="00EC15AF">
        <w:rPr>
          <w:rFonts w:asciiTheme="majorHAnsi" w:hAnsiTheme="majorHAnsi"/>
          <w:sz w:val="20"/>
          <w:szCs w:val="20"/>
        </w:rPr>
        <w:t>nia</w:t>
      </w:r>
      <w:r>
        <w:rPr>
          <w:rFonts w:asciiTheme="majorHAnsi" w:hAnsiTheme="majorHAnsi"/>
          <w:sz w:val="20"/>
          <w:szCs w:val="20"/>
        </w:rPr>
        <w:t xml:space="preserve"> na návrh komisie na realizáciu súbehu, ktorá posudzuje prijaté žiadosti. Komisia si vyhradzuje právo požadovať od žiadateľa dodatočnú dokumentáciu a informácie podľa potreby alebo určiť splnenie dodatočných podmienok na pridelenie finančných prostriedkov. </w:t>
      </w:r>
    </w:p>
    <w:p w:rsidR="00AC3E3B" w:rsidRPr="00AC3E3B" w:rsidRDefault="00EC15AF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 je prihláška podpísaná</w:t>
      </w:r>
      <w:r w:rsidRPr="00EC15AF">
        <w:rPr>
          <w:rFonts w:asciiTheme="majorHAnsi" w:hAnsiTheme="majorHAnsi"/>
          <w:sz w:val="20"/>
          <w:szCs w:val="20"/>
        </w:rPr>
        <w:t xml:space="preserve"> </w:t>
      </w:r>
      <w:r w:rsidR="00F01083" w:rsidRPr="00EC15AF">
        <w:rPr>
          <w:rFonts w:asciiTheme="majorHAnsi" w:hAnsiTheme="majorHAnsi"/>
          <w:sz w:val="20"/>
          <w:szCs w:val="20"/>
        </w:rPr>
        <w:t>osob</w:t>
      </w:r>
      <w:r w:rsidR="00F01083">
        <w:rPr>
          <w:rFonts w:asciiTheme="majorHAnsi" w:hAnsiTheme="majorHAnsi"/>
          <w:sz w:val="20"/>
          <w:szCs w:val="20"/>
        </w:rPr>
        <w:t xml:space="preserve">ou oprávnenou </w:t>
      </w:r>
      <w:r>
        <w:rPr>
          <w:rFonts w:asciiTheme="majorHAnsi" w:hAnsiTheme="majorHAnsi"/>
          <w:sz w:val="20"/>
          <w:szCs w:val="20"/>
        </w:rPr>
        <w:t xml:space="preserve">na základe </w:t>
      </w:r>
      <w:proofErr w:type="spellStart"/>
      <w:r>
        <w:rPr>
          <w:rFonts w:asciiTheme="majorHAnsi" w:hAnsiTheme="majorHAnsi"/>
          <w:sz w:val="20"/>
          <w:szCs w:val="20"/>
        </w:rPr>
        <w:t>plnomoci</w:t>
      </w:r>
      <w:proofErr w:type="spellEnd"/>
      <w:r w:rsidR="00AC3E3B">
        <w:rPr>
          <w:rFonts w:asciiTheme="majorHAnsi" w:hAnsiTheme="majorHAnsi"/>
          <w:sz w:val="20"/>
          <w:szCs w:val="20"/>
        </w:rPr>
        <w:t xml:space="preserve">, je potrebné priložiť </w:t>
      </w:r>
      <w:r w:rsidR="00F01083">
        <w:rPr>
          <w:rFonts w:asciiTheme="majorHAnsi" w:hAnsiTheme="majorHAnsi"/>
          <w:sz w:val="20"/>
          <w:szCs w:val="20"/>
        </w:rPr>
        <w:t xml:space="preserve">aj </w:t>
      </w:r>
      <w:r w:rsidR="00AC3E3B">
        <w:rPr>
          <w:rFonts w:asciiTheme="majorHAnsi" w:hAnsiTheme="majorHAnsi"/>
          <w:sz w:val="20"/>
          <w:szCs w:val="20"/>
        </w:rPr>
        <w:t xml:space="preserve">riadne podpísané </w:t>
      </w:r>
      <w:r>
        <w:rPr>
          <w:rFonts w:asciiTheme="majorHAnsi" w:hAnsiTheme="majorHAnsi"/>
          <w:sz w:val="20"/>
          <w:szCs w:val="20"/>
        </w:rPr>
        <w:t>splnomocnenie</w:t>
      </w:r>
      <w:r w:rsidR="00F01083">
        <w:rPr>
          <w:rFonts w:asciiTheme="majorHAnsi" w:hAnsiTheme="majorHAnsi"/>
          <w:sz w:val="20"/>
          <w:szCs w:val="20"/>
        </w:rPr>
        <w:t xml:space="preserve"> na podpis</w:t>
      </w:r>
      <w:r w:rsidR="00AC3E3B">
        <w:rPr>
          <w:rFonts w:asciiTheme="majorHAnsi" w:hAnsiTheme="majorHAnsi"/>
          <w:sz w:val="20"/>
          <w:szCs w:val="20"/>
        </w:rPr>
        <w:t xml:space="preserve">. 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Výsledky súbehu sa uverejňujú na webovej stránke sekretariátu.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  <w:lang w:val="sr-Latn-RS"/>
        </w:rPr>
      </w:pP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Lehota podávania prihlášok na súbeh je 14. mar</w:t>
      </w:r>
      <w:r w:rsidR="00EC15AF">
        <w:rPr>
          <w:rFonts w:asciiTheme="majorHAnsi" w:hAnsiTheme="majorHAnsi"/>
          <w:b/>
          <w:sz w:val="20"/>
          <w:szCs w:val="20"/>
          <w:u w:val="single"/>
        </w:rPr>
        <w:t>ca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2025.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AC3E3B" w:rsidRPr="00AC3E3B" w:rsidRDefault="00AC3E3B" w:rsidP="00AC3E3B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Prihlášky na súbeh (</w:t>
      </w:r>
      <w:r w:rsidR="00EC15AF">
        <w:rPr>
          <w:rFonts w:asciiTheme="majorHAnsi" w:hAnsiTheme="majorHAnsi"/>
          <w:sz w:val="20"/>
          <w:szCs w:val="20"/>
        </w:rPr>
        <w:t>povinne</w:t>
      </w:r>
      <w:r>
        <w:rPr>
          <w:rFonts w:asciiTheme="majorHAnsi" w:hAnsiTheme="majorHAnsi"/>
          <w:sz w:val="20"/>
          <w:szCs w:val="20"/>
        </w:rPr>
        <w:t xml:space="preserve"> na vyplnenom tlačive, ktoré možno nájsť na webovom sídle </w:t>
      </w:r>
      <w:proofErr w:type="spellStart"/>
      <w:r>
        <w:rPr>
          <w:rFonts w:asciiTheme="majorHAnsi" w:hAnsiTheme="majorHAnsi"/>
          <w:sz w:val="20"/>
          <w:szCs w:val="20"/>
        </w:rPr>
        <w:t>pokrajinského</w:t>
      </w:r>
      <w:proofErr w:type="spellEnd"/>
      <w:r>
        <w:rPr>
          <w:rFonts w:asciiTheme="majorHAnsi" w:hAnsiTheme="majorHAnsi"/>
          <w:sz w:val="20"/>
          <w:szCs w:val="20"/>
        </w:rPr>
        <w:t xml:space="preserve"> sekretariátu) zasielať v </w:t>
      </w:r>
      <w:r>
        <w:rPr>
          <w:rFonts w:asciiTheme="majorHAnsi" w:hAnsiTheme="majorHAnsi"/>
          <w:sz w:val="20"/>
          <w:szCs w:val="20"/>
          <w:u w:val="single"/>
        </w:rPr>
        <w:t>papierovej forme</w:t>
      </w:r>
      <w:r>
        <w:rPr>
          <w:rFonts w:asciiTheme="majorHAnsi" w:hAnsiTheme="majorHAnsi"/>
          <w:sz w:val="20"/>
          <w:szCs w:val="20"/>
        </w:rPr>
        <w:t xml:space="preserve"> v uzavretej obálke na adresu: </w:t>
      </w:r>
    </w:p>
    <w:p w:rsidR="00AC3E3B" w:rsidRPr="00AC3E3B" w:rsidRDefault="00AC3E3B" w:rsidP="00AC3E3B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AC3E3B" w:rsidRPr="00AC3E3B" w:rsidRDefault="00AC3E3B" w:rsidP="00AC3E3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POKRAJINSKÝ SEKRETARIÁT VZDELÁVANIA, PREDPISOV, SPRÁVY A NÁRODNOSTNÝCH MENŠÍN – NÁRODNOSTNÝCH SPOLOČENSTIEV, BULVÁR MIHAJLA PUPINA 16, 21 000 NOVÝ SAD</w:t>
      </w:r>
      <w:r>
        <w:rPr>
          <w:rFonts w:asciiTheme="majorHAnsi" w:hAnsiTheme="majorHAnsi"/>
          <w:sz w:val="20"/>
          <w:szCs w:val="20"/>
        </w:rPr>
        <w:t xml:space="preserve"> s uvedením názvu súbehu/programu a projektu, </w:t>
      </w:r>
      <w:r>
        <w:rPr>
          <w:rFonts w:asciiTheme="majorHAnsi" w:hAnsiTheme="majorHAnsi"/>
          <w:sz w:val="20"/>
          <w:szCs w:val="20"/>
          <w:u w:val="single"/>
        </w:rPr>
        <w:t>poštou alebo osobne</w:t>
      </w:r>
      <w:r>
        <w:rPr>
          <w:rFonts w:asciiTheme="majorHAnsi" w:hAnsiTheme="majorHAnsi"/>
          <w:sz w:val="20"/>
          <w:szCs w:val="20"/>
        </w:rPr>
        <w:t xml:space="preserve"> na podateľni </w:t>
      </w:r>
      <w:proofErr w:type="spellStart"/>
      <w:r>
        <w:rPr>
          <w:rFonts w:asciiTheme="majorHAnsi" w:hAnsiTheme="majorHAnsi"/>
          <w:sz w:val="20"/>
          <w:szCs w:val="20"/>
        </w:rPr>
        <w:t>pokrajinských</w:t>
      </w:r>
      <w:proofErr w:type="spellEnd"/>
      <w:r>
        <w:rPr>
          <w:rFonts w:asciiTheme="majorHAnsi" w:hAnsiTheme="majorHAnsi"/>
          <w:sz w:val="20"/>
          <w:szCs w:val="20"/>
        </w:rPr>
        <w:t xml:space="preserve"> orgánov správy (na uvedenú adresu) v čase od 9:00 do 14:00 hodiny. 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color w:val="00B0F0"/>
          <w:sz w:val="20"/>
          <w:szCs w:val="20"/>
          <w:u w:val="single"/>
        </w:rPr>
      </w:pPr>
    </w:p>
    <w:p w:rsidR="00AC3E3B" w:rsidRPr="00AC3E3B" w:rsidRDefault="00EC15AF" w:rsidP="00AC3E3B">
      <w:pPr>
        <w:spacing w:before="60"/>
        <w:ind w:firstLine="56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Tlačivo</w:t>
      </w:r>
      <w:r w:rsidR="00AC3E3B">
        <w:rPr>
          <w:rFonts w:asciiTheme="majorHAnsi" w:hAnsiTheme="majorHAnsi"/>
          <w:sz w:val="20"/>
          <w:szCs w:val="20"/>
        </w:rPr>
        <w:t xml:space="preserve"> prihlášky </w:t>
      </w:r>
      <w:r>
        <w:rPr>
          <w:rFonts w:asciiTheme="majorHAnsi" w:hAnsiTheme="majorHAnsi"/>
          <w:sz w:val="20"/>
          <w:szCs w:val="20"/>
        </w:rPr>
        <w:t>pre</w:t>
      </w:r>
      <w:r w:rsidR="00AC3E3B">
        <w:rPr>
          <w:rFonts w:asciiTheme="majorHAnsi" w:hAnsiTheme="majorHAnsi"/>
          <w:sz w:val="20"/>
          <w:szCs w:val="20"/>
        </w:rPr>
        <w:t xml:space="preserve"> uvedené súbehy s prílohami </w:t>
      </w:r>
      <w:r>
        <w:rPr>
          <w:rFonts w:asciiTheme="majorHAnsi" w:hAnsiTheme="majorHAnsi"/>
          <w:sz w:val="20"/>
          <w:szCs w:val="20"/>
        </w:rPr>
        <w:t xml:space="preserve">si </w:t>
      </w:r>
      <w:r w:rsidR="00AC3E3B">
        <w:rPr>
          <w:rFonts w:asciiTheme="majorHAnsi" w:hAnsiTheme="majorHAnsi"/>
          <w:sz w:val="20"/>
          <w:szCs w:val="20"/>
        </w:rPr>
        <w:t xml:space="preserve">možno stiahnuť od </w:t>
      </w:r>
      <w:r w:rsidR="00AC3E3B">
        <w:rPr>
          <w:rFonts w:asciiTheme="majorHAnsi" w:hAnsiTheme="majorHAnsi"/>
          <w:b/>
          <w:bCs/>
          <w:sz w:val="20"/>
          <w:szCs w:val="20"/>
          <w:u w:val="single"/>
        </w:rPr>
        <w:t>12. februára 2025</w:t>
      </w:r>
      <w:r w:rsidR="00AC3E3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AC3E3B">
        <w:rPr>
          <w:rFonts w:asciiTheme="majorHAnsi" w:hAnsiTheme="majorHAnsi"/>
          <w:sz w:val="20"/>
          <w:szCs w:val="20"/>
        </w:rPr>
        <w:t xml:space="preserve">z oficiálneho webového sídla sekretariátu: </w:t>
      </w:r>
      <w:hyperlink r:id="rId6" w:history="1">
        <w:r w:rsidR="00AC3E3B">
          <w:rPr>
            <w:rStyle w:val="Hyperlink"/>
            <w:rFonts w:asciiTheme="majorHAnsi" w:hAnsiTheme="majorHAnsi"/>
            <w:b/>
            <w:sz w:val="20"/>
            <w:szCs w:val="20"/>
          </w:rPr>
          <w:t>www.puma.vojvodina.gov.rs</w:t>
        </w:r>
      </w:hyperlink>
      <w:r w:rsidR="00AC3E3B">
        <w:rPr>
          <w:rFonts w:asciiTheme="majorHAnsi" w:hAnsiTheme="majorHAnsi"/>
          <w:b/>
          <w:sz w:val="20"/>
          <w:szCs w:val="20"/>
          <w:u w:val="single"/>
        </w:rPr>
        <w:t xml:space="preserve"> .</w:t>
      </w:r>
    </w:p>
    <w:p w:rsidR="00664892" w:rsidRPr="00AC3E3B" w:rsidRDefault="00CA2FD3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892" w:rsidRPr="00AC3E3B" w:rsidRDefault="00CA2FD3">
      <w:pPr>
        <w:tabs>
          <w:tab w:val="center" w:pos="7200"/>
        </w:tabs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                   POKRAJINSKÝ TAJOMNÍK</w:t>
      </w:r>
    </w:p>
    <w:p w:rsidR="00664892" w:rsidRPr="00AC3E3B" w:rsidRDefault="004004E9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Róbert </w:t>
      </w:r>
      <w:proofErr w:type="spellStart"/>
      <w:r>
        <w:rPr>
          <w:rFonts w:asciiTheme="majorHAnsi" w:hAnsiTheme="majorHAnsi"/>
          <w:sz w:val="20"/>
          <w:szCs w:val="20"/>
        </w:rPr>
        <w:t>Ótott</w:t>
      </w:r>
      <w:proofErr w:type="spellEnd"/>
    </w:p>
    <w:sectPr w:rsidR="00664892" w:rsidRPr="00AC3E3B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43D5D"/>
    <w:rsid w:val="0008750A"/>
    <w:rsid w:val="000A672D"/>
    <w:rsid w:val="000C4ECD"/>
    <w:rsid w:val="00232CD9"/>
    <w:rsid w:val="003C4044"/>
    <w:rsid w:val="004004E9"/>
    <w:rsid w:val="0055552E"/>
    <w:rsid w:val="00621288"/>
    <w:rsid w:val="00664892"/>
    <w:rsid w:val="006B086E"/>
    <w:rsid w:val="00703587"/>
    <w:rsid w:val="007D2611"/>
    <w:rsid w:val="008F529A"/>
    <w:rsid w:val="00955C75"/>
    <w:rsid w:val="00AC3E3B"/>
    <w:rsid w:val="00AF4FDC"/>
    <w:rsid w:val="00CA2FD3"/>
    <w:rsid w:val="00D55636"/>
    <w:rsid w:val="00D83DAF"/>
    <w:rsid w:val="00D84747"/>
    <w:rsid w:val="00E1033D"/>
    <w:rsid w:val="00EC15AF"/>
    <w:rsid w:val="00F01083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5FB3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1472</Words>
  <Characters>7304</Characters>
  <Application>Microsoft Office Word</Application>
  <DocSecurity>0</DocSecurity>
  <Lines>102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Zdenka Valent</cp:lastModifiedBy>
  <cp:revision>7</cp:revision>
  <dcterms:created xsi:type="dcterms:W3CDTF">2025-02-11T08:31:00Z</dcterms:created>
  <dcterms:modified xsi:type="dcterms:W3CDTF">2025-02-11T14:23:00Z</dcterms:modified>
</cp:coreProperties>
</file>