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0" w:type="dxa"/>
        <w:tblInd w:w="-580" w:type="dxa"/>
        <w:tblLayout w:type="fixed"/>
        <w:tblLook w:val="04A0" w:firstRow="1" w:lastRow="0" w:firstColumn="1" w:lastColumn="0" w:noHBand="0" w:noVBand="1"/>
      </w:tblPr>
      <w:tblGrid>
        <w:gridCol w:w="2550"/>
        <w:gridCol w:w="4055"/>
        <w:gridCol w:w="3595"/>
      </w:tblGrid>
      <w:tr w:rsidR="009C4C57" w:rsidRPr="00FF4D56" w:rsidTr="001A7145">
        <w:trPr>
          <w:trHeight w:val="1975"/>
        </w:trPr>
        <w:tc>
          <w:tcPr>
            <w:tcW w:w="2550" w:type="dxa"/>
            <w:hideMark/>
          </w:tcPr>
          <w:p w:rsidR="009C4C57" w:rsidRPr="00FF4D56" w:rsidRDefault="009C4C57" w:rsidP="00F8616C">
            <w:pPr>
              <w:tabs>
                <w:tab w:val="center" w:pos="4703"/>
                <w:tab w:val="right" w:pos="9406"/>
              </w:tabs>
              <w:ind w:left="-198" w:firstLine="108"/>
              <w:rPr>
                <w:rFonts w:asciiTheme="minorHAnsi" w:eastAsia="Calibri" w:hAnsiTheme="minorHAnsi" w:cstheme="minorHAnsi"/>
                <w:color w:val="000000"/>
                <w:sz w:val="22"/>
                <w:szCs w:val="22"/>
              </w:rPr>
            </w:pPr>
            <w:r w:rsidRPr="00FF4D56">
              <w:rPr>
                <w:rFonts w:asciiTheme="minorHAnsi" w:hAnsiTheme="minorHAnsi" w:cstheme="minorHAnsi"/>
                <w:noProof/>
                <w:color w:val="000000"/>
                <w:lang w:val="en-US"/>
              </w:rPr>
              <w:drawing>
                <wp:inline distT="0" distB="0" distL="0" distR="0">
                  <wp:extent cx="1381125" cy="895350"/>
                  <wp:effectExtent l="0" t="0" r="9525"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895350"/>
                          </a:xfrm>
                          <a:prstGeom prst="rect">
                            <a:avLst/>
                          </a:prstGeom>
                          <a:noFill/>
                          <a:ln>
                            <a:noFill/>
                          </a:ln>
                        </pic:spPr>
                      </pic:pic>
                    </a:graphicData>
                  </a:graphic>
                </wp:inline>
              </w:drawing>
            </w:r>
          </w:p>
        </w:tc>
        <w:tc>
          <w:tcPr>
            <w:tcW w:w="7650" w:type="dxa"/>
            <w:gridSpan w:val="2"/>
          </w:tcPr>
          <w:p w:rsidR="009C4C57" w:rsidRPr="00FF4D56" w:rsidRDefault="009C4C57" w:rsidP="00F8616C">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rsidR="009C4C57" w:rsidRPr="00FF4D56" w:rsidRDefault="009C4C57" w:rsidP="00F8616C">
            <w:pPr>
              <w:rPr>
                <w:rFonts w:asciiTheme="minorHAnsi" w:hAnsiTheme="minorHAnsi" w:cstheme="minorHAnsi"/>
                <w:sz w:val="18"/>
                <w:szCs w:val="18"/>
              </w:rPr>
            </w:pPr>
            <w:r>
              <w:rPr>
                <w:rFonts w:asciiTheme="minorHAnsi" w:hAnsiTheme="minorHAnsi"/>
                <w:sz w:val="18"/>
                <w:szCs w:val="18"/>
              </w:rPr>
              <w:t>Provincia Autonomă Voivodina</w:t>
            </w:r>
          </w:p>
          <w:p w:rsidR="009C4C57" w:rsidRPr="00FF4D56" w:rsidRDefault="009C4C57" w:rsidP="00F8616C">
            <w:pPr>
              <w:rPr>
                <w:rFonts w:asciiTheme="minorHAnsi" w:hAnsiTheme="minorHAnsi" w:cstheme="minorHAnsi"/>
                <w:b/>
                <w:sz w:val="18"/>
                <w:szCs w:val="18"/>
              </w:rPr>
            </w:pPr>
            <w:r>
              <w:rPr>
                <w:rFonts w:asciiTheme="minorHAnsi" w:hAnsiTheme="minorHAnsi"/>
                <w:b/>
                <w:sz w:val="18"/>
                <w:szCs w:val="18"/>
              </w:rPr>
              <w:t>Secretariatul Provincial pentru Educaţie, Reglementări,</w:t>
            </w:r>
          </w:p>
          <w:p w:rsidR="009C4C57" w:rsidRPr="00FF4D56" w:rsidRDefault="009C4C57" w:rsidP="00F8616C">
            <w:pPr>
              <w:rPr>
                <w:rFonts w:asciiTheme="minorHAnsi" w:hAnsiTheme="minorHAnsi" w:cstheme="minorHAnsi"/>
                <w:b/>
                <w:sz w:val="18"/>
                <w:szCs w:val="18"/>
              </w:rPr>
            </w:pPr>
            <w:r>
              <w:rPr>
                <w:rFonts w:asciiTheme="minorHAnsi" w:hAnsiTheme="minorHAnsi"/>
                <w:b/>
                <w:sz w:val="18"/>
                <w:szCs w:val="18"/>
              </w:rPr>
              <w:t>Administraţie şi Minorităţile Naţionale - Comunităţile Naţionale</w:t>
            </w:r>
          </w:p>
          <w:p w:rsidR="009C4C57" w:rsidRPr="00FF4D56" w:rsidRDefault="009C4C57" w:rsidP="00F8616C">
            <w:pPr>
              <w:tabs>
                <w:tab w:val="center" w:pos="4703"/>
                <w:tab w:val="right" w:pos="9406"/>
              </w:tabs>
              <w:rPr>
                <w:rFonts w:asciiTheme="minorHAnsi" w:hAnsiTheme="minorHAnsi" w:cstheme="minorHAnsi"/>
                <w:sz w:val="18"/>
                <w:szCs w:val="18"/>
              </w:rPr>
            </w:pPr>
          </w:p>
          <w:p w:rsidR="009C4C57" w:rsidRPr="00FF4D56" w:rsidRDefault="009C4C57" w:rsidP="00F8616C">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rsidR="00DE4203" w:rsidRDefault="009C4C57" w:rsidP="00DE4203">
            <w:pPr>
              <w:tabs>
                <w:tab w:val="center" w:pos="4703"/>
                <w:tab w:val="right" w:pos="9406"/>
              </w:tabs>
              <w:rPr>
                <w:rFonts w:asciiTheme="minorHAnsi" w:hAnsiTheme="minorHAnsi" w:cstheme="minorHAnsi"/>
                <w:sz w:val="18"/>
                <w:szCs w:val="18"/>
              </w:rPr>
            </w:pPr>
            <w:r>
              <w:rPr>
                <w:rFonts w:asciiTheme="minorHAnsi" w:hAnsiTheme="minorHAnsi"/>
                <w:sz w:val="18"/>
                <w:szCs w:val="18"/>
              </w:rPr>
              <w:t xml:space="preserve">T: +381 21  487  </w:t>
            </w:r>
            <w:r>
              <w:rPr>
                <w:rFonts w:asciiTheme="minorHAnsi" w:hAnsiTheme="minorHAnsi"/>
                <w:color w:val="000000"/>
                <w:sz w:val="18"/>
                <w:szCs w:val="18"/>
              </w:rPr>
              <w:t>46 77</w:t>
            </w:r>
          </w:p>
          <w:p w:rsidR="009C4C57" w:rsidRPr="00FF4D56" w:rsidRDefault="00F8616C" w:rsidP="00DE4203">
            <w:pPr>
              <w:tabs>
                <w:tab w:val="center" w:pos="4703"/>
                <w:tab w:val="right" w:pos="9406"/>
              </w:tabs>
              <w:rPr>
                <w:rFonts w:asciiTheme="minorHAnsi" w:eastAsia="Calibri" w:hAnsiTheme="minorHAnsi" w:cstheme="minorHAnsi"/>
                <w:color w:val="000000"/>
                <w:sz w:val="18"/>
                <w:szCs w:val="18"/>
              </w:rPr>
            </w:pPr>
            <w:r>
              <w:rPr>
                <w:rFonts w:asciiTheme="minorHAnsi" w:hAnsiTheme="minorHAnsi"/>
                <w:sz w:val="18"/>
                <w:szCs w:val="18"/>
              </w:rPr>
              <w:t>ounz@vojvodinа.gov.rs</w:t>
            </w:r>
          </w:p>
        </w:tc>
      </w:tr>
      <w:tr w:rsidR="009C4C57" w:rsidRPr="00FF4D56" w:rsidTr="001A7145">
        <w:trPr>
          <w:trHeight w:val="272"/>
        </w:trPr>
        <w:tc>
          <w:tcPr>
            <w:tcW w:w="2550" w:type="dxa"/>
          </w:tcPr>
          <w:p w:rsidR="009C4C57" w:rsidRPr="00FF4D56" w:rsidRDefault="009C4C57" w:rsidP="00F8616C">
            <w:pPr>
              <w:tabs>
                <w:tab w:val="center" w:pos="4703"/>
                <w:tab w:val="right" w:pos="9406"/>
              </w:tabs>
              <w:ind w:left="-198" w:firstLine="108"/>
              <w:rPr>
                <w:rFonts w:asciiTheme="minorHAnsi" w:eastAsia="Calibri" w:hAnsiTheme="minorHAnsi" w:cstheme="minorHAnsi"/>
                <w:noProof/>
                <w:color w:val="000000"/>
                <w:sz w:val="22"/>
                <w:szCs w:val="22"/>
                <w:lang w:val="ru-RU"/>
              </w:rPr>
            </w:pPr>
          </w:p>
        </w:tc>
        <w:tc>
          <w:tcPr>
            <w:tcW w:w="4055" w:type="dxa"/>
          </w:tcPr>
          <w:p w:rsidR="009C4C57" w:rsidRPr="001A7145" w:rsidRDefault="009C4C57" w:rsidP="00F8616C">
            <w:pPr>
              <w:tabs>
                <w:tab w:val="center" w:pos="4703"/>
                <w:tab w:val="right" w:pos="9406"/>
              </w:tabs>
              <w:rPr>
                <w:rFonts w:asciiTheme="minorHAnsi" w:hAnsiTheme="minorHAnsi" w:cstheme="minorHAnsi"/>
                <w:color w:val="000000"/>
                <w:sz w:val="18"/>
                <w:szCs w:val="18"/>
              </w:rPr>
            </w:pPr>
            <w:r>
              <w:rPr>
                <w:rFonts w:asciiTheme="minorHAnsi" w:hAnsiTheme="minorHAnsi"/>
                <w:color w:val="000000"/>
                <w:sz w:val="18"/>
                <w:szCs w:val="18"/>
              </w:rPr>
              <w:t>NUMĂRUL: 000211072 2025 09427 005 001 000 001</w:t>
            </w:r>
          </w:p>
        </w:tc>
        <w:tc>
          <w:tcPr>
            <w:tcW w:w="3595" w:type="dxa"/>
          </w:tcPr>
          <w:p w:rsidR="009C4C57" w:rsidRPr="00FF4D56" w:rsidRDefault="009C4C57" w:rsidP="00DE4203">
            <w:pPr>
              <w:tabs>
                <w:tab w:val="center" w:pos="4703"/>
                <w:tab w:val="right" w:pos="9406"/>
              </w:tabs>
              <w:rPr>
                <w:rFonts w:asciiTheme="minorHAnsi" w:hAnsiTheme="minorHAnsi" w:cstheme="minorHAnsi"/>
                <w:color w:val="000000"/>
                <w:sz w:val="18"/>
                <w:szCs w:val="18"/>
              </w:rPr>
            </w:pPr>
            <w:r>
              <w:rPr>
                <w:rFonts w:asciiTheme="minorHAnsi" w:hAnsiTheme="minorHAnsi"/>
                <w:color w:val="000000"/>
                <w:sz w:val="18"/>
                <w:szCs w:val="18"/>
              </w:rPr>
              <w:t>DATA: 17.04.2025</w:t>
            </w:r>
          </w:p>
        </w:tc>
      </w:tr>
    </w:tbl>
    <w:p w:rsidR="001A7145" w:rsidRDefault="001A7145" w:rsidP="00DE4203">
      <w:pPr>
        <w:ind w:firstLine="720"/>
        <w:jc w:val="both"/>
        <w:rPr>
          <w:rFonts w:asciiTheme="minorHAnsi" w:hAnsiTheme="minorHAnsi" w:cstheme="minorHAnsi"/>
          <w:sz w:val="22"/>
          <w:szCs w:val="22"/>
          <w:lang w:val="sr-Cyrl-RS"/>
        </w:rPr>
      </w:pPr>
    </w:p>
    <w:p w:rsidR="00531514" w:rsidRPr="00FF4D56" w:rsidRDefault="009C4C57" w:rsidP="00F8616C">
      <w:pPr>
        <w:ind w:firstLine="720"/>
        <w:jc w:val="both"/>
        <w:rPr>
          <w:rFonts w:asciiTheme="minorHAnsi" w:hAnsiTheme="minorHAnsi" w:cstheme="minorHAnsi"/>
          <w:sz w:val="22"/>
          <w:szCs w:val="22"/>
        </w:rPr>
      </w:pPr>
      <w:r>
        <w:rPr>
          <w:rFonts w:asciiTheme="minorHAnsi" w:hAnsiTheme="minorHAnsi"/>
          <w:sz w:val="22"/>
          <w:szCs w:val="22"/>
        </w:rPr>
        <w:t>În baza art. 15, 16 și alineatul 5 şi 24 alineatul 2 din din Hotărârea Adunării Provinciei privind administrația provincială (Buletinul oficial al P.A.V.", numărul 37/2014, 54/2014 – altă reglementare şi 37/2016, 29/2017, 24/2019, 66/2020 și 38/2021), articolului  9 din Hotărârea Adunării Provinciei privind  repartizarea mijloacelor bugetare organelor și organizațiilor în actvitatea cărora sunt în uz oficial limbile și grafiile minorităților naționale („Buletinul oficial al P.A.V.”, numărul: 14/2015), raportat la articolul 11 şi 23 alineatul 4 din Hotărârea Adunării Provinciei privind bugetul Provinciei Autonome Voivodina pentru anul 2025 („Buletinul oficial al P.A.V.”, nr. 57/2024) şi articolului  10 din Regulamentul privind repartizarea mijloacelor bugetare ale Secretariatului Provincial pentru Educaţie, Reglementări, Administraţie şi Minorităţile Naţionale - Comunităţile Naţionale organelor şi organizaţiilor în a căror activitate sunt în uz oficial limbile şi grafiile minorităţilor naţionale - comunităţilor naţionale („Buletinul oficial al P.A.V.”, numărul 5/2025), conform Concursului realizat  pentru repartizarea mijloacelor bugetare organelor şi organizaţiilor din Provincia Autonomă Voivodina în a căror activitate sunt în uz oficial limbile şi grafiile minorităţilor naţionale - comunităţilor naţionale pentru anul 2025 (în continuare: Concursul) şi în baza Deciziei secretarului provincial pentru educaţie, reglementări, administraţie şi minorităţile naţionale – comunităţile naţionale numărul: 001642201 2024 09427 002 001 000 001 04 007 од 10.6.2024, locţiitoarea secretarului provincial emite:</w:t>
      </w:r>
    </w:p>
    <w:p w:rsidR="009C4C57" w:rsidRPr="00FF4D56" w:rsidRDefault="009C4C57" w:rsidP="009C4C57">
      <w:pPr>
        <w:jc w:val="center"/>
        <w:rPr>
          <w:rFonts w:asciiTheme="minorHAnsi" w:hAnsiTheme="minorHAnsi" w:cstheme="minorHAnsi"/>
          <w:b/>
          <w:sz w:val="22"/>
          <w:szCs w:val="22"/>
        </w:rPr>
      </w:pPr>
      <w:r>
        <w:rPr>
          <w:rFonts w:asciiTheme="minorHAnsi" w:hAnsiTheme="minorHAnsi"/>
          <w:b/>
          <w:sz w:val="22"/>
          <w:szCs w:val="22"/>
        </w:rPr>
        <w:t>DECIZIA</w:t>
      </w:r>
    </w:p>
    <w:p w:rsidR="009C4C57" w:rsidRPr="00FF4D56" w:rsidRDefault="009C4C57" w:rsidP="009C4C57">
      <w:pPr>
        <w:jc w:val="center"/>
        <w:rPr>
          <w:rFonts w:asciiTheme="minorHAnsi" w:hAnsiTheme="minorHAnsi" w:cstheme="minorHAnsi"/>
          <w:b/>
          <w:sz w:val="22"/>
          <w:szCs w:val="22"/>
        </w:rPr>
      </w:pPr>
      <w:r>
        <w:rPr>
          <w:rFonts w:asciiTheme="minorHAnsi" w:hAnsiTheme="minorHAnsi"/>
          <w:b/>
          <w:sz w:val="22"/>
          <w:szCs w:val="22"/>
        </w:rPr>
        <w:t>PRIVIND REPARTIZAREA MIJLOACELOR CONFORM CONCURSULUI PENTRU REPARTIZAREA MIJLOACELOR BUGETARE ORGANELOR ŞI ORGANIZAŢIILOR DIN PROVINCIA AUTONOMĂ VOIVODINA ÎN A CĂROR ACTIVITATE SUNT ÎN UZ OFICIAL LIMBILE ŞI GRAFIILE MINORITĂŢILOR NAŢIONALE - COMUNITĂŢI</w:t>
      </w:r>
      <w:r w:rsidR="00AA3073">
        <w:rPr>
          <w:rFonts w:asciiTheme="minorHAnsi" w:hAnsiTheme="minorHAnsi"/>
          <w:b/>
          <w:sz w:val="22"/>
          <w:szCs w:val="22"/>
        </w:rPr>
        <w:t xml:space="preserve">LOR NAŢIONALE PENTRU ANUL 2025 </w:t>
      </w:r>
    </w:p>
    <w:p w:rsidR="00531514" w:rsidRPr="00FF4D56" w:rsidRDefault="00531514" w:rsidP="009C4C57">
      <w:pPr>
        <w:rPr>
          <w:rFonts w:asciiTheme="minorHAnsi" w:hAnsiTheme="minorHAnsi" w:cstheme="minorHAnsi"/>
          <w:sz w:val="22"/>
          <w:szCs w:val="22"/>
        </w:rPr>
      </w:pPr>
    </w:p>
    <w:p w:rsidR="0082316C" w:rsidRDefault="009C4C57" w:rsidP="00081C65">
      <w:pPr>
        <w:ind w:firstLine="720"/>
        <w:jc w:val="both"/>
        <w:rPr>
          <w:b/>
          <w:sz w:val="20"/>
          <w:szCs w:val="22"/>
        </w:rPr>
      </w:pPr>
      <w:r>
        <w:rPr>
          <w:rFonts w:asciiTheme="minorHAnsi" w:hAnsiTheme="minorHAnsi"/>
          <w:sz w:val="22"/>
          <w:szCs w:val="22"/>
        </w:rPr>
        <w:t>Prin prezenta decizie se stabileşte repartizarea mijloacelor bugetare ale Secretariatului Provincial pentru Educaţie, Reglementări, Administraţie şi Minorităţile Naţionale – Comunităţile Naţionale (în continuare: Secretariatului) conform Concursului  pentru repartizarea mijloacelor bugetare organelor şi organizaţiilor din Provincia Autonomă Voivodina în a căror activitate sunt în uz oficial limbile şi grafiile minorităţilor naţionale - comunităţilor naţionale pentru anul 2025, numărul 000211072 2025 09427 005 001 000 001 din 05.02.2025, pentru finanțare, respectiv participare la finanțare,în felul următor:</w:t>
      </w:r>
    </w:p>
    <w:p w:rsidR="0082316C" w:rsidRDefault="0082316C" w:rsidP="0082316C">
      <w:pPr>
        <w:jc w:val="center"/>
        <w:rPr>
          <w:b/>
          <w:sz w:val="20"/>
          <w:szCs w:val="22"/>
          <w:lang w:val="sr-Cyrl-RS"/>
        </w:rPr>
      </w:pPr>
    </w:p>
    <w:tbl>
      <w:tblPr>
        <w:tblW w:w="11057" w:type="dxa"/>
        <w:tblInd w:w="-714" w:type="dxa"/>
        <w:tblLayout w:type="fixed"/>
        <w:tblLook w:val="04A0" w:firstRow="1" w:lastRow="0" w:firstColumn="1" w:lastColumn="0" w:noHBand="0" w:noVBand="1"/>
      </w:tblPr>
      <w:tblGrid>
        <w:gridCol w:w="2181"/>
        <w:gridCol w:w="1219"/>
        <w:gridCol w:w="3361"/>
        <w:gridCol w:w="2170"/>
        <w:gridCol w:w="737"/>
        <w:gridCol w:w="1389"/>
      </w:tblGrid>
      <w:tr w:rsidR="00531514" w:rsidRPr="00531514" w:rsidTr="00531514">
        <w:trPr>
          <w:trHeight w:val="645"/>
        </w:trPr>
        <w:tc>
          <w:tcPr>
            <w:tcW w:w="2181" w:type="dxa"/>
            <w:tcBorders>
              <w:top w:val="single" w:sz="4" w:space="0" w:color="000000"/>
              <w:left w:val="single" w:sz="4" w:space="0" w:color="000000"/>
              <w:bottom w:val="single" w:sz="4" w:space="0" w:color="000000"/>
              <w:right w:val="single" w:sz="4" w:space="0" w:color="000000"/>
            </w:tcBorders>
            <w:shd w:val="clear" w:color="000000" w:fill="BFBFBF"/>
            <w:vAlign w:val="center"/>
            <w:hideMark/>
          </w:tcPr>
          <w:p w:rsidR="00531514" w:rsidRPr="00531514" w:rsidRDefault="00531514" w:rsidP="00A33633">
            <w:pPr>
              <w:rPr>
                <w:rFonts w:ascii="Calibri" w:hAnsi="Calibri" w:cs="Calibri"/>
                <w:b/>
                <w:bCs/>
                <w:sz w:val="20"/>
                <w:szCs w:val="20"/>
              </w:rPr>
            </w:pPr>
            <w:r>
              <w:rPr>
                <w:rFonts w:ascii="Calibri" w:hAnsi="Calibri"/>
                <w:b/>
                <w:bCs/>
                <w:sz w:val="20"/>
                <w:szCs w:val="20"/>
              </w:rPr>
              <w:t>Semnatarul cererii</w:t>
            </w:r>
          </w:p>
        </w:tc>
        <w:tc>
          <w:tcPr>
            <w:tcW w:w="1219" w:type="dxa"/>
            <w:tcBorders>
              <w:top w:val="single" w:sz="4" w:space="0" w:color="000000"/>
              <w:left w:val="nil"/>
              <w:bottom w:val="single" w:sz="4" w:space="0" w:color="000000"/>
              <w:right w:val="single" w:sz="4" w:space="0" w:color="000000"/>
            </w:tcBorders>
            <w:shd w:val="clear" w:color="000000" w:fill="BFBFBF"/>
            <w:vAlign w:val="center"/>
            <w:hideMark/>
          </w:tcPr>
          <w:p w:rsidR="00531514" w:rsidRPr="00531514" w:rsidRDefault="00531514" w:rsidP="00531514">
            <w:pPr>
              <w:rPr>
                <w:rFonts w:ascii="Calibri" w:hAnsi="Calibri" w:cs="Calibri"/>
                <w:b/>
                <w:bCs/>
                <w:sz w:val="20"/>
                <w:szCs w:val="20"/>
              </w:rPr>
            </w:pPr>
            <w:r>
              <w:rPr>
                <w:rFonts w:ascii="Calibri" w:hAnsi="Calibri"/>
                <w:b/>
                <w:bCs/>
                <w:sz w:val="20"/>
                <w:szCs w:val="20"/>
              </w:rPr>
              <w:t>Localitatea</w:t>
            </w:r>
          </w:p>
        </w:tc>
        <w:tc>
          <w:tcPr>
            <w:tcW w:w="3361" w:type="dxa"/>
            <w:tcBorders>
              <w:top w:val="single" w:sz="4" w:space="0" w:color="000000"/>
              <w:left w:val="nil"/>
              <w:bottom w:val="single" w:sz="4" w:space="0" w:color="000000"/>
              <w:right w:val="single" w:sz="4" w:space="0" w:color="000000"/>
            </w:tcBorders>
            <w:shd w:val="clear" w:color="000000" w:fill="BFBFBF"/>
            <w:vAlign w:val="center"/>
            <w:hideMark/>
          </w:tcPr>
          <w:p w:rsidR="00531514" w:rsidRPr="00531514" w:rsidRDefault="00531514" w:rsidP="00531514">
            <w:pPr>
              <w:jc w:val="center"/>
              <w:rPr>
                <w:rFonts w:ascii="Calibri" w:hAnsi="Calibri" w:cs="Calibri"/>
                <w:b/>
                <w:bCs/>
                <w:sz w:val="20"/>
                <w:szCs w:val="20"/>
              </w:rPr>
            </w:pPr>
            <w:r>
              <w:rPr>
                <w:rFonts w:ascii="Calibri" w:hAnsi="Calibri"/>
                <w:b/>
                <w:bCs/>
                <w:sz w:val="20"/>
                <w:szCs w:val="20"/>
              </w:rPr>
              <w:t>Destinaţia</w:t>
            </w:r>
          </w:p>
        </w:tc>
        <w:tc>
          <w:tcPr>
            <w:tcW w:w="2170" w:type="dxa"/>
            <w:tcBorders>
              <w:top w:val="single" w:sz="4" w:space="0" w:color="000000"/>
              <w:left w:val="nil"/>
              <w:bottom w:val="single" w:sz="4" w:space="0" w:color="000000"/>
              <w:right w:val="single" w:sz="4" w:space="0" w:color="000000"/>
            </w:tcBorders>
            <w:shd w:val="clear" w:color="000000" w:fill="BFBFBF"/>
            <w:vAlign w:val="center"/>
            <w:hideMark/>
          </w:tcPr>
          <w:p w:rsidR="00531514" w:rsidRPr="00531514" w:rsidRDefault="00531514" w:rsidP="00531514">
            <w:pPr>
              <w:jc w:val="center"/>
              <w:rPr>
                <w:rFonts w:ascii="Calibri" w:hAnsi="Calibri" w:cs="Calibri"/>
                <w:b/>
                <w:bCs/>
                <w:sz w:val="20"/>
                <w:szCs w:val="20"/>
              </w:rPr>
            </w:pPr>
            <w:r>
              <w:rPr>
                <w:rFonts w:ascii="Calibri" w:hAnsi="Calibri"/>
                <w:b/>
                <w:bCs/>
                <w:sz w:val="20"/>
                <w:szCs w:val="20"/>
              </w:rPr>
              <w:t>Număr de dosar</w:t>
            </w:r>
          </w:p>
        </w:tc>
        <w:tc>
          <w:tcPr>
            <w:tcW w:w="737" w:type="dxa"/>
            <w:tcBorders>
              <w:top w:val="single" w:sz="4" w:space="0" w:color="000000"/>
              <w:left w:val="nil"/>
              <w:bottom w:val="single" w:sz="4" w:space="0" w:color="000000"/>
              <w:right w:val="single" w:sz="4" w:space="0" w:color="000000"/>
            </w:tcBorders>
            <w:shd w:val="clear" w:color="000000" w:fill="BFBFBF"/>
            <w:vAlign w:val="center"/>
            <w:hideMark/>
          </w:tcPr>
          <w:p w:rsidR="00531514" w:rsidRPr="00531514" w:rsidRDefault="00531514" w:rsidP="00531514">
            <w:pPr>
              <w:jc w:val="center"/>
              <w:rPr>
                <w:rFonts w:ascii="Calibri" w:hAnsi="Calibri" w:cs="Calibri"/>
                <w:b/>
                <w:bCs/>
                <w:sz w:val="20"/>
                <w:szCs w:val="20"/>
              </w:rPr>
            </w:pPr>
            <w:r>
              <w:rPr>
                <w:rFonts w:ascii="Calibri" w:hAnsi="Calibri"/>
                <w:b/>
                <w:bCs/>
                <w:sz w:val="20"/>
                <w:szCs w:val="20"/>
              </w:rPr>
              <w:t>Nr. de puncte</w:t>
            </w:r>
          </w:p>
        </w:tc>
        <w:tc>
          <w:tcPr>
            <w:tcW w:w="1389" w:type="dxa"/>
            <w:tcBorders>
              <w:top w:val="single" w:sz="4" w:space="0" w:color="000000"/>
              <w:left w:val="nil"/>
              <w:bottom w:val="single" w:sz="4" w:space="0" w:color="000000"/>
              <w:right w:val="single" w:sz="4" w:space="0" w:color="000000"/>
            </w:tcBorders>
            <w:shd w:val="clear" w:color="000000" w:fill="BFBFBF"/>
            <w:vAlign w:val="center"/>
            <w:hideMark/>
          </w:tcPr>
          <w:p w:rsidR="00531514" w:rsidRPr="00531514" w:rsidRDefault="00531514" w:rsidP="00531514">
            <w:pPr>
              <w:jc w:val="center"/>
              <w:rPr>
                <w:rFonts w:ascii="Calibri" w:hAnsi="Calibri" w:cs="Calibri"/>
                <w:b/>
                <w:bCs/>
                <w:sz w:val="20"/>
                <w:szCs w:val="20"/>
              </w:rPr>
            </w:pPr>
            <w:r>
              <w:rPr>
                <w:rFonts w:ascii="Calibri" w:hAnsi="Calibri"/>
                <w:b/>
                <w:bCs/>
                <w:sz w:val="20"/>
                <w:szCs w:val="20"/>
              </w:rPr>
              <w:t>Cuantumul aprobat</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Biblioteca "Sarvaš Gabor"</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Ada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000457319 2025 09427 005 001 000 001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36</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90.000,00</w:t>
            </w:r>
          </w:p>
        </w:tc>
      </w:tr>
      <w:tr w:rsidR="00531514" w:rsidRPr="00531514" w:rsidTr="00F8616C">
        <w:trPr>
          <w:trHeight w:val="416"/>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Martonoš</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Martonoš</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000479956 2025 09427 005 001 000 001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16</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130.000,00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lastRenderedPageBreak/>
              <w:t>Comuna Biserica Albă</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Biserica Albă</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000480027 2025 09427 005 001 000 001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280.000,00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Organizaţia de Turism a comunei Novi Bečej</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Novi Bečej</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000501810 2025 09427 005 001 000 001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120.000,00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Organizaţia de Turism a comunei Novi Bečej</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Novi Bečej</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000501846 2025 09427 005 001 000 001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85.000,00</w:t>
            </w:r>
          </w:p>
        </w:tc>
      </w:tr>
      <w:tr w:rsidR="00531514" w:rsidRPr="00531514" w:rsidTr="00F8616C">
        <w:trPr>
          <w:trHeight w:val="556"/>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Mužlja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Zrenianin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000518173 2025 09427 005 001 000 001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19</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120.000,00</w:t>
            </w:r>
          </w:p>
        </w:tc>
      </w:tr>
      <w:tr w:rsidR="00531514" w:rsidRPr="00531514" w:rsidTr="00F8616C">
        <w:trPr>
          <w:trHeight w:val="55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„Servo Mihalj”</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Zrenianin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000519063 2025 09427 005 001 000 001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Comuna Bački Petrovac</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Bački Petrovac</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000534243 2025 09427 005 001 000 001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Novo Selo</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Subotica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000549509 2025 09427 005 001 000 001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210.000,00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ŞCOALA DE ÎNALTE STUDII DE SPECIALITATE PENTRU EDUCATORI ȘI DE MEDICINĂ DIN VÂRŞEŢ</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Vârșeț</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000613895 2025 09427 005 001 000 001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F8616C">
        <w:trPr>
          <w:trHeight w:val="65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Biblioteca "Sarvaš Gabor"</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Ada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000585966 2025 09427 005 001 000 001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 xml:space="preserve">Centrul pentru Munca Socială al </w:t>
            </w:r>
            <w:r w:rsidR="007B69D3">
              <w:rPr>
                <w:rFonts w:ascii="Calibri" w:hAnsi="Calibri"/>
                <w:color w:val="000000"/>
                <w:sz w:val="20"/>
                <w:szCs w:val="20"/>
              </w:rPr>
              <w:t>oraş</w:t>
            </w:r>
            <w:r>
              <w:rPr>
                <w:rFonts w:ascii="Calibri" w:hAnsi="Calibri"/>
                <w:color w:val="000000"/>
                <w:sz w:val="20"/>
                <w:szCs w:val="20"/>
              </w:rPr>
              <w:t>ui Subotica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Subotica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000621981 2025 09427 005 001 000 001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35</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120.000,00</w:t>
            </w:r>
          </w:p>
        </w:tc>
      </w:tr>
      <w:tr w:rsidR="00531514" w:rsidRPr="00531514" w:rsidTr="00531514">
        <w:trPr>
          <w:trHeight w:val="557"/>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"Debeljača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Debeljača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000613267 2025 09427 005 001 000 001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180.000,00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Căminul Sanitar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000695372 2025 09427 005 001 000 001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130.000,00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Organizația de Turism din Voivodina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Novi Sad</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000691942 2025 09427 005 001 000 001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250.000,00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Instituția educativ-culturală „Cnesa”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000714002 2025 09427 005 001 000 001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19</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Protectorul Provincial al Cetăţenilor-Ombudsmanul</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Novi Sad</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Plăci formulare</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000613086 2025 09427 005 001 000 001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250.000,00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lastRenderedPageBreak/>
              <w:t>Protectorul Provincial al Cetăţenilor-Ombudsmanul</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Novi Sad</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000702111 2025 09427 005 001 000 001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33</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Protectorul Provincial al Cetăţenilor-Ombudsmanul</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Novi Sad</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000701932 2025 09427 005 001 000 001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33</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Torda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Torda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000792771 2025 09427 005 001 000 001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16</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170.000,00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Instituţia preşcolară „Naši biseri”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000811356 2025 09427 005 001 000 001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35</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44.000,00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Instituţia preşcolară „Naši biseri”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000814312 2025 09427 005 001 000 001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39.000,00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Banatski Dvor</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Banatski Dvor</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000765106 2025 09427 005 001 000 001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13</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GRĂDINA ZOOLOGICĂ PALIĆ</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Palić</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000927768 2025 09427 005 001 000 001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160.000,00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GRĂDINA ZOOLOGICĂ PALIĆ</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Palić</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000933848 2025 09427 005 001 000 001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120.000,00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„Majšanski put”</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Subotica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000928732 2025 09427 005 001 000 001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Orom</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Orom</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000920357 2025 09427 005 001 000 001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130.000,00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Organizația de Turism Vârșeț</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Vârșeț</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000935696 2025 09427 005 001 000 001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180.000,00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Male Pijace</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Male Pijace</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000933374 2025 09427 005 001 000 001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130.000,00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Comuna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000934972 2025 09427 005 001 000 001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390.000,00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„Majdan-Rabe”</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Majdan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001036263 2025 09427 005 001 000 001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lastRenderedPageBreak/>
              <w:t>Comunitatea locală "Ivanovo"</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Ivanovo</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001011249 2025 09427 005 001 000 001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150.000,00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"Ivanovo"</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Ivanovo</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001007737 2025 09427 005 001 000 001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19</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„Jožef Atila”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Kupusina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001036283 2025 09427 005 001 000 001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„NOVA GAJDOBRA”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Nova Gajdobra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001032054 2025 09427 005 001 000 001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140.000,00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Organizația de Turism a comunei Kovačica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Kovačica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001034139 2025 09427 005 001 000 001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180.000,00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Feketić</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Feketić</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001100633 2025 09427 005 001 000 001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25</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150.000,00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Lalić</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Lalić</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001079713 2025 09427 005 001 000 001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140.000,00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7B69D3" w:rsidP="00531514">
            <w:pPr>
              <w:rPr>
                <w:rFonts w:ascii="Calibri" w:hAnsi="Calibri" w:cs="Calibri"/>
                <w:color w:val="000000"/>
                <w:sz w:val="20"/>
                <w:szCs w:val="20"/>
              </w:rPr>
            </w:pPr>
            <w:r>
              <w:rPr>
                <w:rFonts w:ascii="Calibri" w:hAnsi="Calibri"/>
                <w:color w:val="000000"/>
                <w:sz w:val="20"/>
                <w:szCs w:val="20"/>
              </w:rPr>
              <w:t>Oraş</w:t>
            </w:r>
            <w:r w:rsidR="00531514">
              <w:rPr>
                <w:rFonts w:ascii="Calibri" w:hAnsi="Calibri"/>
                <w:color w:val="000000"/>
                <w:sz w:val="20"/>
                <w:szCs w:val="20"/>
              </w:rPr>
              <w:t xml:space="preserve"> Kikinda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Kikinda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001109389 2025 09427 005 001 000 001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180.000,00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Bezdan</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Bezdan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001102231 2025 09427 005 001 000 001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200.000,00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Bezdan</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Bezdan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001106454 2025 09427 005 001 000 001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40.000,00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„Căminul Sanitar Kikinda”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Kikinda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000953000 2025 09427 005 001 000 001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119.000,00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Întreprinderea Publică pentru Servicii Edilitare „Komunalac”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001121993 2025 09427 005 001 000 001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33</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Întreprinderea Publică pentru Servicii Edilitare „Komunalac”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001121955 2025 09427 005 001 000 001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120.000,00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Pivnice</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3323C4" w:rsidP="00531514">
            <w:pPr>
              <w:rPr>
                <w:rFonts w:ascii="Calibri" w:hAnsi="Calibri" w:cs="Calibri"/>
                <w:color w:val="000000"/>
                <w:sz w:val="20"/>
                <w:szCs w:val="20"/>
              </w:rPr>
            </w:pPr>
            <w:r>
              <w:rPr>
                <w:rFonts w:ascii="Calibri" w:hAnsi="Calibri"/>
                <w:color w:val="000000"/>
                <w:sz w:val="20"/>
                <w:szCs w:val="20"/>
              </w:rPr>
              <w:t>Pivnice</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001120444 2025 09427 005 001 000 001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19</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150.000,00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lastRenderedPageBreak/>
              <w:t>Școala Elementară „Čeh Karolj”</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Ada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001158901 2025 09427 005 001 000 001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90.000,00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Novo Crnja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Nova Crnja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001163844 2025 09427 005 001 000 001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190.000,00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ADMINISTRAŢIA COMUNALĂ CUVIN</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Cuvin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001204393 2025 09427 005 001 000 001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300.000,00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Trešnjevac</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Trešnjevac</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001208905 2025 09427 005 001 000 001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130.000,00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Organizația de Turism a comunei Alibunar</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Alibunar</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001208106 2025 09427 005 001 000 001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ADMINISTRAŢIA COMUNALĂ CUVIN</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Cuvin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001204217 2025 09427 005 001 000 001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180.000,00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„Aranj Janoš”</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Trešnjevac</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001204941 2025 09427 005 001 000 001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Mali Iđoš</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Mali Iđoš</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001202745 2025 09427 005 001 000 001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90.000,00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Palić</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Palić</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001197396 2025 09427 005 001 000 001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110.000,00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Totovo selo</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Totovo Sepo</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001196101 2025 09427 005 001 000 001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130.000,00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Centrul regional pentru dezvoltarea profesională a angajaților în domeniul învățământului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001188395 2025 09427 005 001 000 001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19</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Comuna Vrbas</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Vrbas</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001188400 2025 09427 005 001 000 001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Centrul regional pentru dezvoltarea profesională a angajaților în domeniul învățământului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001187621 2025 09427 005 001 000 001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14</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90.000,00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Întreprinderea Publică „Palić-Ludaš” Palić</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Palić</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001187323 2025 09427 005 001 000 001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23</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lastRenderedPageBreak/>
              <w:t>Întreprinderea Publică „Palić-Ludaš” Palić</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Palić</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001187869 2025 09427 005 001 000 001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29</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130.000,00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Liceul pentru Elevii Talentaţi „Dezső Kosztolányi”</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Subotica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001171140 2025 09427 005 001 000 001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36</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44.000,00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„Aranj Janoš”</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Trešnjevac</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001180655 2025 09427 005 001 000 001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110.000,00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„Nikola Tesla”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Feketić</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001177878 2025 09427 005 001 000 001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69.000,00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„Jovan Jovanović Zmaj”</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001168959 2025 09427 005 001 000 001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20.000,00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„Hunjadi Janoš”</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Čantavir</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001149555 2025 09427 005 001 000 001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„Jovan Jovanović Zmaj”</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001165423 2025 09427 005 001 000 001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36</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Instituţia preşcolară „Labud Pejović”</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Bečej</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001147823 2025 09427 005 001 000 001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31</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120.000,00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Kanjiža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Kanjiža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001122061 2025 09427 005 001 000 001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23</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130.000,00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Centrul Educativ Cultural din Čoka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Čoka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001149421 2025 09427 005 001 000 001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35</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120.000,00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Întreprinderea Publică Edilitară „Stadion” Subotica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Subotica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001149504 2025 09427 005 001 000 001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33</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Întreprinderea Publică Edilitară „Stadion” Subotica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Subotica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001149778 2025 09427 005 001 000 001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34</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100.000,00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Comunitatea locală Sajan</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Sajan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 xml:space="preserve">Fabricarea şi instalarea plăcilor inscripţionate în limbile minorităţilor naţionale – comunităţilor naţionale în uz oficial  în </w:t>
            </w:r>
            <w:r w:rsidR="007B69D3">
              <w:rPr>
                <w:rFonts w:ascii="Calibri" w:hAnsi="Calibri"/>
                <w:color w:val="000000"/>
                <w:sz w:val="20"/>
                <w:szCs w:val="20"/>
              </w:rPr>
              <w:t>oraş</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001031307 2025 09427 005 001 000 001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37</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90.000,00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Comuna Srbobran</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Srbobran</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001145453 2025 09427 005 001 000 001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20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180.000,00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de Tehnică</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Ada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001144191 2025 09427 005 001 000 001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32</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65.000,00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lastRenderedPageBreak/>
              <w:t>Școala Elementară „Moša Pijade”</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Debeljača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001099692 2025 09427 005 001 000 001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40.000,00</w:t>
            </w:r>
          </w:p>
        </w:tc>
      </w:tr>
      <w:tr w:rsidR="00531514" w:rsidRPr="00531514" w:rsidTr="00531514">
        <w:trPr>
          <w:trHeight w:val="102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Școala Elementară „Moša Pijade”</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Debeljača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Fabricarea şi instalarea plăcilor inscripţionate în limbile minorităţilor naţionale – comunităţilor naţionale în uz oficial  în comună</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001099482 2025 09427 005 001 000 001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15.000,00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Şcoala Elementară „Stari Kovač Đula”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Stara Moravica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001205024 2025 09427 005 001 000 001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18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80.000,00</w:t>
            </w:r>
          </w:p>
        </w:tc>
      </w:tr>
      <w:tr w:rsidR="00531514" w:rsidRPr="00531514" w:rsidTr="00531514">
        <w:trPr>
          <w:trHeight w:val="765"/>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Şcoala Elementară „Stari Kovač Đula”</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Stara Moravica</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Tipărirea formularelor bilingve şi plurilingve, a publicaţiilor oficiale şi a altor publicaţii</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001187317 2025 09427 005 001 000 001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38</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50.000,00</w:t>
            </w:r>
          </w:p>
        </w:tc>
      </w:tr>
      <w:tr w:rsidR="00531514" w:rsidRPr="00531514" w:rsidTr="00531514">
        <w:trPr>
          <w:trHeight w:val="510"/>
        </w:trPr>
        <w:tc>
          <w:tcPr>
            <w:tcW w:w="2181" w:type="dxa"/>
            <w:tcBorders>
              <w:top w:val="nil"/>
              <w:left w:val="single" w:sz="4" w:space="0" w:color="000000"/>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Teatrul Naţional Sârb</w:t>
            </w:r>
          </w:p>
        </w:tc>
        <w:tc>
          <w:tcPr>
            <w:tcW w:w="121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rPr>
                <w:rFonts w:ascii="Calibri" w:hAnsi="Calibri" w:cs="Calibri"/>
                <w:color w:val="000000"/>
                <w:sz w:val="20"/>
                <w:szCs w:val="20"/>
              </w:rPr>
            </w:pPr>
            <w:r>
              <w:rPr>
                <w:rFonts w:ascii="Calibri" w:hAnsi="Calibri"/>
                <w:color w:val="000000"/>
                <w:sz w:val="20"/>
                <w:szCs w:val="20"/>
              </w:rPr>
              <w:t>Novi Sad</w:t>
            </w:r>
          </w:p>
        </w:tc>
        <w:tc>
          <w:tcPr>
            <w:tcW w:w="3361" w:type="dxa"/>
            <w:tcBorders>
              <w:top w:val="nil"/>
              <w:left w:val="nil"/>
              <w:bottom w:val="single" w:sz="4" w:space="0" w:color="000000"/>
              <w:right w:val="single" w:sz="4" w:space="0" w:color="000000"/>
            </w:tcBorders>
            <w:shd w:val="clear" w:color="auto" w:fill="auto"/>
            <w:vAlign w:val="center"/>
            <w:hideMark/>
          </w:tcPr>
          <w:p w:rsidR="00531514" w:rsidRPr="00531514" w:rsidRDefault="00F8616C" w:rsidP="00531514">
            <w:pPr>
              <w:rPr>
                <w:rFonts w:ascii="Calibri" w:hAnsi="Calibri" w:cs="Calibri"/>
                <w:color w:val="000000"/>
                <w:sz w:val="20"/>
                <w:szCs w:val="20"/>
              </w:rPr>
            </w:pPr>
            <w:r>
              <w:rPr>
                <w:rFonts w:ascii="Calibri" w:hAnsi="Calibri"/>
                <w:color w:val="000000"/>
                <w:sz w:val="20"/>
                <w:szCs w:val="20"/>
              </w:rPr>
              <w:t>Dezvoltarea sistemului de administraţie electronică în condiţii de plurilingvism</w:t>
            </w:r>
          </w:p>
        </w:tc>
        <w:tc>
          <w:tcPr>
            <w:tcW w:w="2170"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001003865 2025 09427 005 001 000 001</w:t>
            </w:r>
          </w:p>
        </w:tc>
        <w:tc>
          <w:tcPr>
            <w:tcW w:w="737"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center"/>
              <w:rPr>
                <w:rFonts w:ascii="Calibri" w:hAnsi="Calibri" w:cs="Calibri"/>
                <w:color w:val="000000"/>
                <w:sz w:val="20"/>
                <w:szCs w:val="20"/>
              </w:rPr>
            </w:pPr>
            <w:r>
              <w:rPr>
                <w:rFonts w:ascii="Calibri" w:hAnsi="Calibri"/>
                <w:color w:val="000000"/>
                <w:sz w:val="20"/>
                <w:szCs w:val="20"/>
              </w:rPr>
              <w:t>30</w:t>
            </w:r>
          </w:p>
        </w:tc>
        <w:tc>
          <w:tcPr>
            <w:tcW w:w="1389" w:type="dxa"/>
            <w:tcBorders>
              <w:top w:val="nil"/>
              <w:left w:val="nil"/>
              <w:bottom w:val="single" w:sz="4" w:space="0" w:color="000000"/>
              <w:right w:val="single" w:sz="4" w:space="0" w:color="000000"/>
            </w:tcBorders>
            <w:shd w:val="clear" w:color="auto" w:fill="auto"/>
            <w:vAlign w:val="center"/>
            <w:hideMark/>
          </w:tcPr>
          <w:p w:rsidR="00531514" w:rsidRPr="00531514" w:rsidRDefault="00531514" w:rsidP="00531514">
            <w:pPr>
              <w:jc w:val="right"/>
              <w:rPr>
                <w:rFonts w:ascii="Calibri" w:hAnsi="Calibri" w:cs="Calibri"/>
                <w:color w:val="000000"/>
                <w:sz w:val="20"/>
                <w:szCs w:val="20"/>
              </w:rPr>
            </w:pPr>
            <w:r>
              <w:rPr>
                <w:rFonts w:ascii="Calibri" w:hAnsi="Calibri"/>
                <w:color w:val="000000"/>
                <w:sz w:val="20"/>
                <w:szCs w:val="20"/>
              </w:rPr>
              <w:t>170.000,00</w:t>
            </w:r>
          </w:p>
        </w:tc>
      </w:tr>
      <w:tr w:rsidR="00531514" w:rsidRPr="00531514" w:rsidTr="00531514">
        <w:trPr>
          <w:trHeight w:val="570"/>
        </w:trPr>
        <w:tc>
          <w:tcPr>
            <w:tcW w:w="2181" w:type="dxa"/>
            <w:tcBorders>
              <w:top w:val="nil"/>
              <w:left w:val="single" w:sz="4" w:space="0" w:color="000000"/>
              <w:bottom w:val="single" w:sz="4" w:space="0" w:color="000000"/>
              <w:right w:val="single" w:sz="4" w:space="0" w:color="000000"/>
            </w:tcBorders>
            <w:shd w:val="clear" w:color="000000" w:fill="BFBFBF"/>
            <w:vAlign w:val="center"/>
            <w:hideMark/>
          </w:tcPr>
          <w:p w:rsidR="00531514" w:rsidRPr="00531514" w:rsidRDefault="00531514" w:rsidP="00531514">
            <w:pPr>
              <w:rPr>
                <w:rFonts w:ascii="Calibri" w:hAnsi="Calibri" w:cs="Calibri"/>
                <w:b/>
                <w:bCs/>
                <w:color w:val="000000"/>
                <w:sz w:val="20"/>
                <w:szCs w:val="20"/>
              </w:rPr>
            </w:pPr>
            <w:r>
              <w:rPr>
                <w:rFonts w:ascii="Calibri" w:hAnsi="Calibri"/>
                <w:b/>
                <w:bCs/>
                <w:color w:val="000000"/>
                <w:sz w:val="20"/>
                <w:szCs w:val="20"/>
              </w:rPr>
              <w:t>Total</w:t>
            </w:r>
          </w:p>
        </w:tc>
        <w:tc>
          <w:tcPr>
            <w:tcW w:w="1219" w:type="dxa"/>
            <w:tcBorders>
              <w:top w:val="nil"/>
              <w:left w:val="nil"/>
              <w:bottom w:val="single" w:sz="4" w:space="0" w:color="000000"/>
              <w:right w:val="single" w:sz="4" w:space="0" w:color="000000"/>
            </w:tcBorders>
            <w:shd w:val="clear" w:color="000000" w:fill="BFBFBF"/>
            <w:vAlign w:val="center"/>
            <w:hideMark/>
          </w:tcPr>
          <w:p w:rsidR="00531514" w:rsidRPr="00531514" w:rsidRDefault="00531514" w:rsidP="00531514">
            <w:pPr>
              <w:rPr>
                <w:rFonts w:ascii="Calibri" w:hAnsi="Calibri" w:cs="Calibri"/>
                <w:b/>
                <w:bCs/>
                <w:color w:val="000000"/>
                <w:sz w:val="20"/>
                <w:szCs w:val="20"/>
              </w:rPr>
            </w:pPr>
            <w:r>
              <w:rPr>
                <w:rFonts w:ascii="Calibri" w:hAnsi="Calibri"/>
                <w:b/>
                <w:bCs/>
                <w:color w:val="000000"/>
                <w:sz w:val="20"/>
                <w:szCs w:val="20"/>
              </w:rPr>
              <w:t> </w:t>
            </w:r>
          </w:p>
        </w:tc>
        <w:tc>
          <w:tcPr>
            <w:tcW w:w="3361" w:type="dxa"/>
            <w:tcBorders>
              <w:top w:val="nil"/>
              <w:left w:val="nil"/>
              <w:bottom w:val="single" w:sz="4" w:space="0" w:color="000000"/>
              <w:right w:val="single" w:sz="4" w:space="0" w:color="000000"/>
            </w:tcBorders>
            <w:shd w:val="clear" w:color="000000" w:fill="BFBFBF"/>
            <w:vAlign w:val="center"/>
            <w:hideMark/>
          </w:tcPr>
          <w:p w:rsidR="00531514" w:rsidRPr="00531514" w:rsidRDefault="00531514" w:rsidP="00531514">
            <w:pPr>
              <w:rPr>
                <w:rFonts w:ascii="Calibri" w:hAnsi="Calibri" w:cs="Calibri"/>
                <w:b/>
                <w:bCs/>
                <w:color w:val="000000"/>
                <w:sz w:val="20"/>
                <w:szCs w:val="20"/>
              </w:rPr>
            </w:pPr>
            <w:r>
              <w:rPr>
                <w:rFonts w:ascii="Calibri" w:hAnsi="Calibri"/>
                <w:b/>
                <w:bCs/>
                <w:color w:val="000000"/>
                <w:sz w:val="20"/>
                <w:szCs w:val="20"/>
              </w:rPr>
              <w:t> </w:t>
            </w:r>
          </w:p>
        </w:tc>
        <w:tc>
          <w:tcPr>
            <w:tcW w:w="2170" w:type="dxa"/>
            <w:tcBorders>
              <w:top w:val="nil"/>
              <w:left w:val="nil"/>
              <w:bottom w:val="single" w:sz="4" w:space="0" w:color="000000"/>
              <w:right w:val="single" w:sz="4" w:space="0" w:color="000000"/>
            </w:tcBorders>
            <w:shd w:val="clear" w:color="000000" w:fill="BFBFBF"/>
            <w:vAlign w:val="center"/>
            <w:hideMark/>
          </w:tcPr>
          <w:p w:rsidR="00531514" w:rsidRPr="00531514" w:rsidRDefault="00531514" w:rsidP="00531514">
            <w:pPr>
              <w:jc w:val="center"/>
              <w:rPr>
                <w:rFonts w:ascii="Calibri" w:hAnsi="Calibri" w:cs="Calibri"/>
                <w:b/>
                <w:bCs/>
                <w:color w:val="000000"/>
                <w:sz w:val="20"/>
                <w:szCs w:val="20"/>
              </w:rPr>
            </w:pPr>
            <w:r>
              <w:rPr>
                <w:rFonts w:ascii="Calibri" w:hAnsi="Calibri"/>
                <w:b/>
                <w:bCs/>
                <w:color w:val="000000"/>
                <w:sz w:val="20"/>
                <w:szCs w:val="20"/>
              </w:rPr>
              <w:t> </w:t>
            </w:r>
          </w:p>
        </w:tc>
        <w:tc>
          <w:tcPr>
            <w:tcW w:w="737" w:type="dxa"/>
            <w:tcBorders>
              <w:top w:val="nil"/>
              <w:left w:val="nil"/>
              <w:bottom w:val="single" w:sz="4" w:space="0" w:color="000000"/>
              <w:right w:val="single" w:sz="4" w:space="0" w:color="000000"/>
            </w:tcBorders>
            <w:shd w:val="clear" w:color="000000" w:fill="BFBFBF"/>
            <w:vAlign w:val="center"/>
            <w:hideMark/>
          </w:tcPr>
          <w:p w:rsidR="00531514" w:rsidRPr="00531514" w:rsidRDefault="00531514" w:rsidP="00531514">
            <w:pPr>
              <w:jc w:val="center"/>
              <w:rPr>
                <w:rFonts w:ascii="Calibri" w:hAnsi="Calibri" w:cs="Calibri"/>
                <w:b/>
                <w:bCs/>
                <w:color w:val="000000"/>
                <w:sz w:val="20"/>
                <w:szCs w:val="20"/>
              </w:rPr>
            </w:pPr>
            <w:r>
              <w:rPr>
                <w:rFonts w:ascii="Calibri" w:hAnsi="Calibri"/>
                <w:b/>
                <w:bCs/>
                <w:color w:val="000000"/>
                <w:sz w:val="20"/>
                <w:szCs w:val="20"/>
              </w:rPr>
              <w:t> </w:t>
            </w:r>
          </w:p>
        </w:tc>
        <w:tc>
          <w:tcPr>
            <w:tcW w:w="1389" w:type="dxa"/>
            <w:tcBorders>
              <w:top w:val="nil"/>
              <w:left w:val="nil"/>
              <w:bottom w:val="single" w:sz="4" w:space="0" w:color="000000"/>
              <w:right w:val="single" w:sz="4" w:space="0" w:color="000000"/>
            </w:tcBorders>
            <w:shd w:val="clear" w:color="000000" w:fill="BFBFBF"/>
            <w:vAlign w:val="center"/>
            <w:hideMark/>
          </w:tcPr>
          <w:p w:rsidR="00531514" w:rsidRPr="00531514" w:rsidRDefault="00531514" w:rsidP="00531514">
            <w:pPr>
              <w:jc w:val="right"/>
              <w:rPr>
                <w:rFonts w:ascii="Calibri" w:hAnsi="Calibri" w:cs="Calibri"/>
                <w:b/>
                <w:bCs/>
                <w:color w:val="000000"/>
                <w:sz w:val="20"/>
                <w:szCs w:val="20"/>
              </w:rPr>
            </w:pPr>
            <w:r>
              <w:rPr>
                <w:rFonts w:ascii="Calibri" w:hAnsi="Calibri"/>
                <w:b/>
                <w:bCs/>
                <w:color w:val="000000"/>
                <w:sz w:val="20"/>
                <w:szCs w:val="20"/>
              </w:rPr>
              <w:t>10.000.000,00</w:t>
            </w:r>
          </w:p>
        </w:tc>
      </w:tr>
    </w:tbl>
    <w:p w:rsidR="00531514" w:rsidRDefault="00531514" w:rsidP="0082316C">
      <w:pPr>
        <w:jc w:val="center"/>
        <w:rPr>
          <w:b/>
          <w:sz w:val="20"/>
          <w:szCs w:val="22"/>
          <w:lang w:val="sr-Cyrl-RS"/>
        </w:rPr>
      </w:pPr>
    </w:p>
    <w:p w:rsidR="005E2020" w:rsidRDefault="005E2020" w:rsidP="00494558">
      <w:pPr>
        <w:jc w:val="center"/>
        <w:rPr>
          <w:rFonts w:asciiTheme="minorHAnsi" w:hAnsiTheme="minorHAnsi" w:cstheme="minorHAnsi"/>
          <w:b/>
          <w:sz w:val="22"/>
          <w:szCs w:val="22"/>
        </w:rPr>
      </w:pPr>
    </w:p>
    <w:p w:rsidR="00494558" w:rsidRPr="00FF4D56" w:rsidRDefault="00494558" w:rsidP="00494558">
      <w:pPr>
        <w:jc w:val="center"/>
        <w:rPr>
          <w:rFonts w:asciiTheme="minorHAnsi" w:hAnsiTheme="minorHAnsi" w:cstheme="minorHAnsi"/>
          <w:b/>
          <w:sz w:val="22"/>
          <w:szCs w:val="22"/>
        </w:rPr>
      </w:pPr>
      <w:r>
        <w:rPr>
          <w:rFonts w:asciiTheme="minorHAnsi" w:hAnsiTheme="minorHAnsi"/>
          <w:b/>
          <w:sz w:val="22"/>
          <w:szCs w:val="22"/>
        </w:rPr>
        <w:t>Expunerea de motive:</w:t>
      </w:r>
    </w:p>
    <w:p w:rsidR="00494558" w:rsidRPr="00FF4D56" w:rsidRDefault="00494558" w:rsidP="00494558">
      <w:pPr>
        <w:jc w:val="center"/>
        <w:rPr>
          <w:rFonts w:asciiTheme="minorHAnsi" w:hAnsiTheme="minorHAnsi" w:cstheme="minorHAnsi"/>
          <w:sz w:val="22"/>
          <w:szCs w:val="22"/>
          <w:lang w:val="sr-Latn-RS"/>
        </w:rPr>
      </w:pPr>
    </w:p>
    <w:p w:rsidR="00494558" w:rsidRDefault="00494558" w:rsidP="00494558">
      <w:pPr>
        <w:ind w:firstLine="720"/>
        <w:jc w:val="both"/>
        <w:rPr>
          <w:rFonts w:asciiTheme="minorHAnsi" w:hAnsiTheme="minorHAnsi" w:cstheme="minorHAnsi"/>
          <w:sz w:val="22"/>
          <w:szCs w:val="22"/>
        </w:rPr>
      </w:pPr>
      <w:r>
        <w:rPr>
          <w:rFonts w:asciiTheme="minorHAnsi" w:hAnsiTheme="minorHAnsi"/>
          <w:sz w:val="22"/>
          <w:szCs w:val="22"/>
        </w:rPr>
        <w:t>Prin Hotărârea Adunării Provinciei privind repartizarea mijloacelor bugetare organelor şi organizaţiilor în a căror activitate sunt în uz oficial limbile şi grafiile minorităţilor naţionale – comunităţilor naţionale şi prin Regulamentul privind repartizarea mijloacelor bugetare ale Secretariatului  Provincial pentru Educaţie, Reglementări, Administraţie şi Minorităţile Naţionale - Comunităţile Naţionale organelor şi organizaţiilor în a căror activitate sunt în uz oficial limbile şi grafiile minorităţilor naţionale – comunităţilor naţionale, se stipulează modul, condițiile și criteriile pentru repartizarea mijloacelor organelor și organizațiilor din teritoriul Provinciei Autonome Voivodina, în a căror activitate sunt în uz oficial limbile şi grafiile minorităţilor naţionale – comunităţilor naţionale Mijloacele menționate se asigură din bugetul Provinciei Autonome Voivodina și se țin în partea specială bugetară a Secretariatului.</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În baza articolului 6 din Hotărârea Adunării Provinciei privind repartizarea mijloacelor bugetare organelor şi organizaţiilor în a căror activitate sunt în uz oficial limbile şi grafiile minorităţilor naţionale – comunităţilor naţionale Secretariatul pe data de 05.02.2025 a publicat Concursul  pentru repartizarea mijloacelor bugetare organelor şi organizaţiilor din Provincia Autonomă Voivodina în a căror activitate sunt în uz oficial limbile şi grafiile minorităţilor naţionale - comunităţilor naţionale pentru anul 2025, numărul 000211072 2025 09427 005 001 000 001. Prin prezenta decizie, în baza concursului realizat în confomritate cu articolul 23 alineatul 4 din Hotărârea Adunării Provinciei privind bugetul Provinciei Autonome Voivodina pentru anul 2025 și mijloacelor asigurate pentru destinațiile menționate, stabilite la articolul 11 din aceeași hotărâre, se efectuează repartizarea mijloacelor conform cererilor sosite la concurs, în cuantum de 10.000.000,00 dinari. </w:t>
      </w:r>
    </w:p>
    <w:p w:rsidR="00494558" w:rsidRPr="00A71913" w:rsidRDefault="00494558" w:rsidP="00494558">
      <w:pPr>
        <w:ind w:firstLine="720"/>
        <w:jc w:val="both"/>
        <w:rPr>
          <w:rFonts w:asciiTheme="minorHAnsi" w:hAnsiTheme="minorHAnsi" w:cstheme="minorHAnsi"/>
          <w:sz w:val="22"/>
          <w:szCs w:val="22"/>
        </w:rPr>
      </w:pPr>
      <w:bookmarkStart w:id="0" w:name="_GoBack"/>
      <w:r w:rsidRPr="00A71913">
        <w:rPr>
          <w:rFonts w:asciiTheme="minorHAnsi" w:hAnsiTheme="minorHAnsi"/>
          <w:sz w:val="22"/>
          <w:szCs w:val="22"/>
        </w:rPr>
        <w:t xml:space="preserve">Mijloacele în baza concursului și Propunerii comisiei de concurs pentru repartizarea mijloacelor înființată prin decizia secrtearului provincial numărul 000211072 2025 09427 005 001 000 001 din 05.03.2025, se acordă pentru finanțarea, respectiv participarea la finanțarea proiectelor și activităților organelor și organizațiilor din teritoriul Provinciei Autonome Voivodina în a căror activitate sunt în uz oficial limbile şi grafiile minorităţilor naţionale – comunităţilor naţionale, pentru îmbunătățirea exercitării dreptului la uz oficial al limbilor și grafiilor din teritoriul Provinciei Autonome Voivodina. </w:t>
      </w:r>
    </w:p>
    <w:bookmarkEnd w:id="0"/>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 xml:space="preserve">Beneficiarii au obligaţia ca la realizarea destinaţiei pentru care au fost alocate mijloacele, să procedeze în conformitate cu dispoziţiile Legii privind achiziţiile publice („Monitorul oficial al RS”, nr. 91/2019 şi 92/2023). Secretariatul va </w:t>
      </w:r>
      <w:r>
        <w:rPr>
          <w:rFonts w:asciiTheme="minorHAnsi" w:hAnsiTheme="minorHAnsi"/>
          <w:b/>
          <w:sz w:val="22"/>
          <w:szCs w:val="22"/>
        </w:rPr>
        <w:t>înştiinţa beneficiarii</w:t>
      </w:r>
      <w:r>
        <w:rPr>
          <w:rFonts w:asciiTheme="minorHAnsi" w:hAnsiTheme="minorHAnsi"/>
          <w:sz w:val="22"/>
          <w:szCs w:val="22"/>
        </w:rPr>
        <w:t xml:space="preserve"> cu privire la repartizarea mijloacelor care a fost stabilită în baza prezentei decizii prin publicarea rezultatelor Concursului pe pagina de internet a </w:t>
      </w:r>
      <w:r>
        <w:rPr>
          <w:rFonts w:asciiTheme="minorHAnsi" w:hAnsiTheme="minorHAnsi"/>
          <w:sz w:val="22"/>
          <w:szCs w:val="22"/>
        </w:rPr>
        <w:lastRenderedPageBreak/>
        <w:t>Secretariatului. Obligațiile reciproce, dintre Secretariat și beneficiarii de mijloace, se preiau în baza contractului scris.</w:t>
      </w:r>
    </w:p>
    <w:p w:rsidR="00494558" w:rsidRPr="00FF4D56" w:rsidRDefault="00494558" w:rsidP="00494558">
      <w:pPr>
        <w:ind w:firstLine="720"/>
        <w:jc w:val="both"/>
        <w:rPr>
          <w:rFonts w:asciiTheme="minorHAnsi" w:hAnsiTheme="minorHAnsi" w:cstheme="minorHAnsi"/>
          <w:sz w:val="22"/>
          <w:szCs w:val="22"/>
        </w:rPr>
      </w:pPr>
      <w:r>
        <w:rPr>
          <w:rFonts w:asciiTheme="minorHAnsi" w:hAnsiTheme="minorHAnsi"/>
          <w:sz w:val="22"/>
          <w:szCs w:val="22"/>
        </w:rPr>
        <w:t>În conformitate cu cele menționate, raportat la articolul 9 din Hotărârea Adunării Provinciei privind repartizarea mijloacelor bugetare organelor şi organizaţiilor în a căror activitate sunt în uz oficial limbile şi grafiile minorităţilor naţionale – comunităţilor naţionale, iar în baza Deciziei secretarului provincial pentru Educaţie, Reglementări, Administraţie şi Minorităţile Naţionale - Comunităţile Naţionale numărul: 001642201 2024 09427 002 001 000 001 04 007 din 10.6.2024, locțiitoarea secretarului provincial a emis decizia precum în dispozitiv.</w:t>
      </w:r>
    </w:p>
    <w:p w:rsidR="00531514" w:rsidRDefault="00531514" w:rsidP="00494558">
      <w:pPr>
        <w:ind w:firstLine="720"/>
        <w:rPr>
          <w:rFonts w:asciiTheme="minorHAnsi" w:hAnsiTheme="minorHAnsi" w:cstheme="minorHAnsi"/>
          <w:sz w:val="22"/>
          <w:szCs w:val="22"/>
        </w:rPr>
      </w:pPr>
    </w:p>
    <w:p w:rsidR="00494558" w:rsidRPr="00FF4D56" w:rsidRDefault="00494558" w:rsidP="00494558">
      <w:pPr>
        <w:ind w:firstLine="720"/>
        <w:rPr>
          <w:rFonts w:asciiTheme="minorHAnsi" w:hAnsiTheme="minorHAnsi" w:cstheme="minorHAnsi"/>
          <w:sz w:val="22"/>
          <w:szCs w:val="22"/>
        </w:rPr>
      </w:pPr>
      <w:r>
        <w:rPr>
          <w:rFonts w:asciiTheme="minorHAnsi" w:hAnsiTheme="minorHAnsi"/>
          <w:sz w:val="22"/>
          <w:szCs w:val="22"/>
        </w:rPr>
        <w:t>Prezenta decizie este definitivă şi împotriva ei nu se poate depune plângere.</w:t>
      </w:r>
    </w:p>
    <w:p w:rsidR="00531514" w:rsidRDefault="00531514" w:rsidP="00FE4700">
      <w:pPr>
        <w:ind w:firstLine="720"/>
        <w:rPr>
          <w:rFonts w:asciiTheme="minorHAnsi" w:hAnsiTheme="minorHAnsi" w:cstheme="minorHAnsi"/>
          <w:sz w:val="22"/>
          <w:szCs w:val="22"/>
        </w:rPr>
      </w:pPr>
    </w:p>
    <w:p w:rsidR="00531514" w:rsidRDefault="00531514" w:rsidP="00FE4700">
      <w:pPr>
        <w:ind w:firstLine="720"/>
        <w:rPr>
          <w:rFonts w:asciiTheme="minorHAnsi" w:hAnsiTheme="minorHAnsi" w:cstheme="minorHAnsi"/>
          <w:sz w:val="22"/>
          <w:szCs w:val="22"/>
        </w:rPr>
      </w:pPr>
    </w:p>
    <w:p w:rsidR="00494558" w:rsidRDefault="00494558" w:rsidP="00531514">
      <w:pPr>
        <w:rPr>
          <w:rFonts w:asciiTheme="minorHAnsi" w:hAnsiTheme="minorHAnsi" w:cstheme="minorHAnsi"/>
          <w:sz w:val="22"/>
          <w:szCs w:val="22"/>
        </w:rPr>
      </w:pPr>
      <w:r>
        <w:rPr>
          <w:rFonts w:asciiTheme="minorHAnsi" w:hAnsiTheme="minorHAnsi"/>
          <w:sz w:val="22"/>
          <w:szCs w:val="22"/>
        </w:rPr>
        <w:t>Decizia se trimite:</w:t>
      </w:r>
    </w:p>
    <w:p w:rsidR="00531514" w:rsidRPr="00FF4D56" w:rsidRDefault="00531514" w:rsidP="00531514">
      <w:pPr>
        <w:rPr>
          <w:rFonts w:asciiTheme="minorHAnsi" w:hAnsiTheme="minorHAnsi" w:cstheme="minorHAnsi"/>
          <w:sz w:val="22"/>
          <w:szCs w:val="22"/>
        </w:rPr>
      </w:pPr>
    </w:p>
    <w:p w:rsidR="00494558"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Beneficiarilor;</w:t>
      </w:r>
    </w:p>
    <w:p w:rsidR="00FF4D56"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Sectorului pentru activităţi material-financiare</w:t>
      </w:r>
    </w:p>
    <w:p w:rsidR="00494558" w:rsidRPr="00FF4D56" w:rsidRDefault="00494558" w:rsidP="00FF4D56">
      <w:pPr>
        <w:pStyle w:val="ListParagraph"/>
        <w:ind w:left="284"/>
        <w:rPr>
          <w:rFonts w:asciiTheme="minorHAnsi" w:hAnsiTheme="minorHAnsi" w:cstheme="minorHAnsi"/>
          <w:sz w:val="22"/>
          <w:szCs w:val="22"/>
        </w:rPr>
      </w:pPr>
      <w:r>
        <w:rPr>
          <w:rFonts w:asciiTheme="minorHAnsi" w:hAnsiTheme="minorHAnsi"/>
          <w:sz w:val="22"/>
          <w:szCs w:val="22"/>
        </w:rPr>
        <w:t>ale Secretariatului;</w:t>
      </w:r>
    </w:p>
    <w:p w:rsidR="00494558" w:rsidRPr="00FF4D56" w:rsidRDefault="00494558" w:rsidP="00FF4D56">
      <w:pPr>
        <w:pStyle w:val="ListParagraph"/>
        <w:numPr>
          <w:ilvl w:val="0"/>
          <w:numId w:val="1"/>
        </w:numPr>
        <w:ind w:left="284" w:hanging="294"/>
        <w:rPr>
          <w:rFonts w:asciiTheme="minorHAnsi" w:hAnsiTheme="minorHAnsi" w:cstheme="minorHAnsi"/>
          <w:sz w:val="22"/>
          <w:szCs w:val="22"/>
        </w:rPr>
      </w:pPr>
      <w:r>
        <w:rPr>
          <w:rFonts w:asciiTheme="minorHAnsi" w:hAnsiTheme="minorHAnsi"/>
          <w:sz w:val="22"/>
          <w:szCs w:val="22"/>
        </w:rPr>
        <w:t xml:space="preserve">Arhivei. </w:t>
      </w:r>
    </w:p>
    <w:p w:rsidR="00494558" w:rsidRPr="00FF4D56" w:rsidRDefault="00494558" w:rsidP="00494558">
      <w:pPr>
        <w:rPr>
          <w:rFonts w:asciiTheme="minorHAnsi" w:hAnsiTheme="minorHAnsi" w:cstheme="minorHAnsi"/>
          <w:sz w:val="22"/>
          <w:szCs w:val="22"/>
        </w:rPr>
      </w:pPr>
      <w:r>
        <w:rPr>
          <w:rFonts w:asciiTheme="minorHAnsi" w:hAnsiTheme="minorHAnsi"/>
          <w:sz w:val="22"/>
          <w:szCs w:val="22"/>
        </w:rPr>
        <w:t xml:space="preserve">                        </w:t>
      </w:r>
    </w:p>
    <w:tbl>
      <w:tblPr>
        <w:tblpPr w:leftFromText="180" w:rightFromText="180" w:vertAnchor="text" w:horzAnchor="margin" w:tblpXSpec="right" w:tblpY="288"/>
        <w:tblW w:w="0" w:type="auto"/>
        <w:tblLook w:val="01E0" w:firstRow="1" w:lastRow="1" w:firstColumn="1" w:lastColumn="1" w:noHBand="0" w:noVBand="0"/>
      </w:tblPr>
      <w:tblGrid>
        <w:gridCol w:w="4440"/>
      </w:tblGrid>
      <w:tr w:rsidR="00531514" w:rsidRPr="00CE353D" w:rsidTr="00F8616C">
        <w:tc>
          <w:tcPr>
            <w:tcW w:w="4440" w:type="dxa"/>
            <w:shd w:val="clear" w:color="auto" w:fill="auto"/>
          </w:tcPr>
          <w:p w:rsidR="00531514" w:rsidRPr="00677ED0" w:rsidRDefault="00531514" w:rsidP="00F8616C">
            <w:pPr>
              <w:tabs>
                <w:tab w:val="left" w:pos="2730"/>
                <w:tab w:val="center" w:pos="7200"/>
              </w:tabs>
              <w:jc w:val="center"/>
              <w:rPr>
                <w:rFonts w:ascii="Calibri" w:hAnsi="Calibri" w:cs="Calibri"/>
                <w:bCs/>
                <w:sz w:val="22"/>
                <w:szCs w:val="22"/>
              </w:rPr>
            </w:pPr>
            <w:r>
              <w:rPr>
                <w:rFonts w:ascii="Calibri" w:hAnsi="Calibri"/>
                <w:bCs/>
                <w:sz w:val="22"/>
                <w:szCs w:val="22"/>
              </w:rPr>
              <w:t>C.A. SECRETARULUI PROVINCIAL</w:t>
            </w:r>
          </w:p>
          <w:p w:rsidR="00531514" w:rsidRPr="00677ED0" w:rsidRDefault="00531514" w:rsidP="00F8616C">
            <w:pPr>
              <w:tabs>
                <w:tab w:val="left" w:pos="2730"/>
                <w:tab w:val="center" w:pos="7200"/>
              </w:tabs>
              <w:jc w:val="center"/>
              <w:rPr>
                <w:rFonts w:ascii="Calibri" w:hAnsi="Calibri" w:cs="Calibri"/>
                <w:bCs/>
                <w:sz w:val="22"/>
                <w:szCs w:val="22"/>
              </w:rPr>
            </w:pPr>
            <w:r>
              <w:rPr>
                <w:rFonts w:ascii="Calibri" w:hAnsi="Calibri"/>
                <w:bCs/>
                <w:sz w:val="22"/>
                <w:szCs w:val="22"/>
              </w:rPr>
              <w:t xml:space="preserve">LOCŢIITOAREA SECRETARULUI  PROVINCIAL </w:t>
            </w:r>
          </w:p>
          <w:p w:rsidR="00531514" w:rsidRDefault="00531514" w:rsidP="00F8616C">
            <w:pPr>
              <w:tabs>
                <w:tab w:val="left" w:pos="2730"/>
                <w:tab w:val="center" w:pos="7200"/>
              </w:tabs>
              <w:jc w:val="center"/>
              <w:rPr>
                <w:rFonts w:ascii="Calibri" w:hAnsi="Calibri" w:cs="Calibri"/>
                <w:bCs/>
                <w:sz w:val="22"/>
                <w:szCs w:val="22"/>
                <w:lang w:val="sr-Cyrl-CS"/>
              </w:rPr>
            </w:pPr>
          </w:p>
          <w:p w:rsidR="00531514" w:rsidRPr="00677ED0" w:rsidRDefault="00531514" w:rsidP="00F8616C">
            <w:pPr>
              <w:tabs>
                <w:tab w:val="left" w:pos="2730"/>
                <w:tab w:val="center" w:pos="7200"/>
              </w:tabs>
              <w:jc w:val="center"/>
              <w:rPr>
                <w:rFonts w:ascii="Calibri" w:hAnsi="Calibri" w:cs="Calibri"/>
                <w:bCs/>
                <w:sz w:val="22"/>
                <w:szCs w:val="22"/>
              </w:rPr>
            </w:pPr>
            <w:r>
              <w:rPr>
                <w:rFonts w:ascii="Calibri" w:hAnsi="Calibri"/>
                <w:bCs/>
                <w:sz w:val="22"/>
                <w:szCs w:val="22"/>
              </w:rPr>
              <w:t>Slađana Bursać</w:t>
            </w:r>
          </w:p>
          <w:p w:rsidR="00531514" w:rsidRPr="00CE353D" w:rsidRDefault="00531514" w:rsidP="00F8616C">
            <w:pPr>
              <w:tabs>
                <w:tab w:val="left" w:pos="2730"/>
                <w:tab w:val="center" w:pos="7200"/>
              </w:tabs>
              <w:jc w:val="center"/>
              <w:rPr>
                <w:rFonts w:ascii="Calibri" w:hAnsi="Calibri" w:cs="Calibri"/>
                <w:bCs/>
                <w:sz w:val="22"/>
                <w:szCs w:val="22"/>
                <w:lang w:val="sr-Cyrl-CS"/>
              </w:rPr>
            </w:pPr>
          </w:p>
        </w:tc>
      </w:tr>
      <w:tr w:rsidR="00531514" w:rsidRPr="007633E9" w:rsidTr="00F8616C">
        <w:trPr>
          <w:trHeight w:val="382"/>
        </w:trPr>
        <w:tc>
          <w:tcPr>
            <w:tcW w:w="4440" w:type="dxa"/>
            <w:shd w:val="clear" w:color="auto" w:fill="auto"/>
          </w:tcPr>
          <w:p w:rsidR="00531514" w:rsidRPr="007633E9" w:rsidRDefault="00531514" w:rsidP="00F8616C">
            <w:pPr>
              <w:tabs>
                <w:tab w:val="left" w:pos="2730"/>
                <w:tab w:val="center" w:pos="7200"/>
              </w:tabs>
              <w:rPr>
                <w:rFonts w:ascii="Calibri" w:hAnsi="Calibri" w:cs="Calibri"/>
                <w:bCs/>
                <w:lang w:val="sr-Cyrl-CS"/>
              </w:rPr>
            </w:pPr>
          </w:p>
        </w:tc>
      </w:tr>
    </w:tbl>
    <w:p w:rsidR="00494558" w:rsidRPr="00FF4D56" w:rsidRDefault="00494558" w:rsidP="00FF4D56">
      <w:pPr>
        <w:rPr>
          <w:rFonts w:asciiTheme="minorHAnsi" w:hAnsiTheme="minorHAnsi" w:cstheme="minorHAnsi"/>
        </w:rPr>
      </w:pPr>
    </w:p>
    <w:sectPr w:rsidR="00494558" w:rsidRPr="00FF4D56" w:rsidSect="00F8616C">
      <w:pgSz w:w="12240" w:h="15840"/>
      <w:pgMar w:top="993"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22B4D"/>
    <w:multiLevelType w:val="hybridMultilevel"/>
    <w:tmpl w:val="EBA6DF3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17"/>
    <w:rsid w:val="00081C65"/>
    <w:rsid w:val="000C5617"/>
    <w:rsid w:val="000F5F15"/>
    <w:rsid w:val="001A7145"/>
    <w:rsid w:val="001C309C"/>
    <w:rsid w:val="002C134E"/>
    <w:rsid w:val="002C24E1"/>
    <w:rsid w:val="00301F20"/>
    <w:rsid w:val="003323C4"/>
    <w:rsid w:val="00391D12"/>
    <w:rsid w:val="003D7616"/>
    <w:rsid w:val="003F06B3"/>
    <w:rsid w:val="00461902"/>
    <w:rsid w:val="00494558"/>
    <w:rsid w:val="004A173E"/>
    <w:rsid w:val="004B21D0"/>
    <w:rsid w:val="00530417"/>
    <w:rsid w:val="00531514"/>
    <w:rsid w:val="005E2020"/>
    <w:rsid w:val="006E140E"/>
    <w:rsid w:val="007B69D3"/>
    <w:rsid w:val="0082316C"/>
    <w:rsid w:val="008F5D16"/>
    <w:rsid w:val="00901070"/>
    <w:rsid w:val="00905C6C"/>
    <w:rsid w:val="009A7101"/>
    <w:rsid w:val="009C4C57"/>
    <w:rsid w:val="00A33633"/>
    <w:rsid w:val="00A71913"/>
    <w:rsid w:val="00AA3073"/>
    <w:rsid w:val="00CD77A9"/>
    <w:rsid w:val="00D35A6D"/>
    <w:rsid w:val="00DA4CF6"/>
    <w:rsid w:val="00DE4203"/>
    <w:rsid w:val="00F8616C"/>
    <w:rsid w:val="00FE4700"/>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6F789-E191-469A-8376-A135416B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C57"/>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4D56"/>
    <w:pPr>
      <w:ind w:left="720"/>
      <w:contextualSpacing/>
    </w:pPr>
  </w:style>
  <w:style w:type="paragraph" w:styleId="BalloonText">
    <w:name w:val="Balloon Text"/>
    <w:basedOn w:val="Normal"/>
    <w:link w:val="BalloonTextChar"/>
    <w:uiPriority w:val="99"/>
    <w:semiHidden/>
    <w:unhideWhenUsed/>
    <w:rsid w:val="00F86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1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Bata</dc:creator>
  <cp:keywords/>
  <dc:description/>
  <cp:lastModifiedBy>Adrian Čoban</cp:lastModifiedBy>
  <cp:revision>8</cp:revision>
  <cp:lastPrinted>2025-04-17T12:51:00Z</cp:lastPrinted>
  <dcterms:created xsi:type="dcterms:W3CDTF">2025-04-17T12:51:00Z</dcterms:created>
  <dcterms:modified xsi:type="dcterms:W3CDTF">2025-04-22T10:47:00Z</dcterms:modified>
</cp:coreProperties>
</file>