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3721"/>
        <w:gridCol w:w="3929"/>
      </w:tblGrid>
      <w:tr w:rsidR="00D82389" w:rsidRPr="008F26C4" w14:paraId="68D9C7C1" w14:textId="77777777" w:rsidTr="00F86894">
        <w:trPr>
          <w:trHeight w:val="1975"/>
        </w:trPr>
        <w:tc>
          <w:tcPr>
            <w:tcW w:w="2550" w:type="dxa"/>
            <w:gridSpan w:val="2"/>
            <w:hideMark/>
          </w:tcPr>
          <w:p w14:paraId="7054EC70" w14:textId="77777777" w:rsidR="00177144" w:rsidRPr="008F26C4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26C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14:paraId="04FF6F64" w14:textId="77777777" w:rsidR="00177144" w:rsidRPr="008F26C4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660F59E" w14:textId="77777777" w:rsidR="00177144" w:rsidRPr="008F26C4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F26C4">
              <w:rPr>
                <w:rFonts w:asciiTheme="minorHAnsi" w:hAnsiTheme="minorHAnsi" w:cstheme="minorHAnsi"/>
                <w:sz w:val="18"/>
                <w:szCs w:val="18"/>
              </w:rPr>
              <w:t>Szerb Köztársaság</w:t>
            </w:r>
          </w:p>
          <w:p w14:paraId="60BB8144" w14:textId="77777777" w:rsidR="00177144" w:rsidRPr="008F26C4" w:rsidRDefault="001771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26C4">
              <w:rPr>
                <w:rFonts w:asciiTheme="minorHAnsi" w:hAnsiTheme="minorHAnsi" w:cstheme="minorHAnsi"/>
                <w:sz w:val="18"/>
                <w:szCs w:val="18"/>
              </w:rPr>
              <w:t>Vajdaság Autonóm Tartomány</w:t>
            </w:r>
          </w:p>
          <w:p w14:paraId="145B09DD" w14:textId="77777777" w:rsidR="00177144" w:rsidRPr="008F26C4" w:rsidRDefault="001771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615F1" w14:textId="77777777" w:rsidR="00177144" w:rsidRPr="008F26C4" w:rsidRDefault="001771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26C4">
              <w:rPr>
                <w:rFonts w:asciiTheme="minorHAnsi" w:hAnsiTheme="minorHAnsi" w:cstheme="minorHAnsi"/>
                <w:b/>
                <w:sz w:val="18"/>
                <w:szCs w:val="18"/>
              </w:rPr>
              <w:t>Tartományi Oktatási, Jogalkotási, Közigazgatási és</w:t>
            </w:r>
          </w:p>
          <w:p w14:paraId="2FD469F0" w14:textId="055320BD" w:rsidR="00177144" w:rsidRPr="008F26C4" w:rsidRDefault="001771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26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Nemzeti Kisebbségi </w:t>
            </w:r>
            <w:r w:rsidR="008F26C4" w:rsidRPr="008F26C4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8F26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Nemzeti</w:t>
            </w:r>
            <w:r w:rsidR="008F26C4" w:rsidRPr="008F26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F26C4">
              <w:rPr>
                <w:rFonts w:asciiTheme="minorHAnsi" w:hAnsiTheme="minorHAnsi" w:cstheme="minorHAnsi"/>
                <w:b/>
                <w:sz w:val="18"/>
                <w:szCs w:val="18"/>
              </w:rPr>
              <w:t>Közösségi Titkárság</w:t>
            </w:r>
          </w:p>
          <w:p w14:paraId="02F0D630" w14:textId="77777777" w:rsidR="00177144" w:rsidRPr="008F26C4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55932D" w14:textId="77777777" w:rsidR="00177144" w:rsidRPr="008F26C4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F26C4">
              <w:rPr>
                <w:rFonts w:asciiTheme="minorHAnsi" w:hAnsiTheme="minorHAnsi" w:cstheme="minorHAnsi"/>
                <w:sz w:val="18"/>
                <w:szCs w:val="18"/>
              </w:rPr>
              <w:t>Mihajlo</w:t>
            </w:r>
            <w:proofErr w:type="spellEnd"/>
            <w:r w:rsidRPr="008F26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F26C4">
              <w:rPr>
                <w:rFonts w:asciiTheme="minorHAnsi" w:hAnsiTheme="minorHAnsi" w:cstheme="minorHAnsi"/>
                <w:sz w:val="18"/>
                <w:szCs w:val="18"/>
              </w:rPr>
              <w:t>Pupin</w:t>
            </w:r>
            <w:proofErr w:type="spellEnd"/>
            <w:r w:rsidRPr="008F26C4">
              <w:rPr>
                <w:rFonts w:asciiTheme="minorHAnsi" w:hAnsiTheme="minorHAnsi" w:cstheme="minorHAnsi"/>
                <w:sz w:val="18"/>
                <w:szCs w:val="18"/>
              </w:rPr>
              <w:t xml:space="preserve"> sugárút 16</w:t>
            </w:r>
            <w:proofErr w:type="gramStart"/>
            <w:r w:rsidRPr="008F26C4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proofErr w:type="gramEnd"/>
            <w:r w:rsidRPr="008F26C4">
              <w:rPr>
                <w:rFonts w:asciiTheme="minorHAnsi" w:hAnsiTheme="minorHAnsi" w:cstheme="minorHAnsi"/>
                <w:sz w:val="18"/>
                <w:szCs w:val="18"/>
              </w:rPr>
              <w:t xml:space="preserve"> 21000 Újvidék</w:t>
            </w:r>
          </w:p>
          <w:p w14:paraId="29FC17D8" w14:textId="77777777" w:rsidR="00177144" w:rsidRPr="008F26C4" w:rsidRDefault="0017714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F26C4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  <w:proofErr w:type="gramStart"/>
            <w:r w:rsidRPr="008F26C4">
              <w:rPr>
                <w:rFonts w:asciiTheme="minorHAnsi" w:hAnsiTheme="minorHAnsi" w:cstheme="minorHAnsi"/>
                <w:sz w:val="18"/>
                <w:szCs w:val="18"/>
              </w:rPr>
              <w:t>.:</w:t>
            </w:r>
            <w:proofErr w:type="gramEnd"/>
            <w:r w:rsidRPr="008F26C4">
              <w:rPr>
                <w:rFonts w:asciiTheme="minorHAnsi" w:hAnsiTheme="minorHAnsi" w:cstheme="minorHAnsi"/>
                <w:sz w:val="18"/>
                <w:szCs w:val="18"/>
              </w:rPr>
              <w:t xml:space="preserve"> +381 21 487 46 77</w:t>
            </w:r>
          </w:p>
          <w:p w14:paraId="472B72A4" w14:textId="521C434A" w:rsidR="00177144" w:rsidRPr="008F26C4" w:rsidRDefault="002A2BFA" w:rsidP="00D73397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7" w:history="1">
              <w:r w:rsidR="006F47A7" w:rsidRPr="008F26C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livia.bata@vojvodinа.gov.rs</w:t>
              </w:r>
            </w:hyperlink>
            <w:r w:rsidR="006F47A7" w:rsidRPr="008F26C4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D82389" w:rsidRPr="008F26C4" w14:paraId="1ACBE128" w14:textId="77777777" w:rsidTr="00005B7F">
        <w:trPr>
          <w:trHeight w:val="305"/>
        </w:trPr>
        <w:tc>
          <w:tcPr>
            <w:tcW w:w="2550" w:type="dxa"/>
            <w:gridSpan w:val="2"/>
          </w:tcPr>
          <w:p w14:paraId="05D13093" w14:textId="77777777" w:rsidR="00177144" w:rsidRPr="008F26C4" w:rsidRDefault="00177144" w:rsidP="00F8689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21" w:type="dxa"/>
          </w:tcPr>
          <w:p w14:paraId="45413BBD" w14:textId="77777777" w:rsidR="00177144" w:rsidRPr="008F26C4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29D8E4F" w14:textId="7EE9146D" w:rsidR="00177144" w:rsidRPr="008F26C4" w:rsidRDefault="00177144" w:rsidP="007D6CA0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6C4">
              <w:rPr>
                <w:rFonts w:asciiTheme="minorHAnsi" w:hAnsiTheme="minorHAnsi" w:cstheme="minorHAnsi"/>
                <w:sz w:val="18"/>
                <w:szCs w:val="18"/>
              </w:rPr>
              <w:t>SZÁM: 003334904 2025 09427 005 001 084 013</w:t>
            </w:r>
          </w:p>
        </w:tc>
        <w:tc>
          <w:tcPr>
            <w:tcW w:w="3929" w:type="dxa"/>
          </w:tcPr>
          <w:p w14:paraId="216965EF" w14:textId="77777777" w:rsidR="00177144" w:rsidRPr="008F26C4" w:rsidRDefault="0017714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37857C4" w14:textId="7A7F9861" w:rsidR="00177144" w:rsidRPr="008F26C4" w:rsidRDefault="008F26C4" w:rsidP="00F5767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26C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DÁTUM: </w:t>
            </w:r>
            <w:r w:rsidR="00005B7F" w:rsidRPr="008F26C4">
              <w:rPr>
                <w:rFonts w:asciiTheme="minorHAnsi" w:hAnsiTheme="minorHAnsi" w:cstheme="minorHAnsi"/>
                <w:sz w:val="22"/>
                <w:szCs w:val="22"/>
              </w:rPr>
              <w:t>2025. augusztus 1.</w:t>
            </w:r>
          </w:p>
        </w:tc>
      </w:tr>
      <w:tr w:rsidR="00D82389" w:rsidRPr="008F26C4" w14:paraId="19E01241" w14:textId="77777777" w:rsidTr="00005B7F">
        <w:trPr>
          <w:trHeight w:val="305"/>
        </w:trPr>
        <w:tc>
          <w:tcPr>
            <w:tcW w:w="1275" w:type="dxa"/>
          </w:tcPr>
          <w:p w14:paraId="1A89850A" w14:textId="77777777" w:rsidR="00081D50" w:rsidRPr="008F26C4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996" w:type="dxa"/>
            <w:gridSpan w:val="2"/>
          </w:tcPr>
          <w:p w14:paraId="28C18B61" w14:textId="77777777" w:rsidR="00081D50" w:rsidRPr="008F26C4" w:rsidRDefault="00081D50" w:rsidP="0014747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929" w:type="dxa"/>
          </w:tcPr>
          <w:p w14:paraId="240CCB4D" w14:textId="77777777" w:rsidR="00081D50" w:rsidRPr="008F26C4" w:rsidRDefault="00081D50" w:rsidP="0014747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42913D1" w14:textId="6272093A" w:rsidR="00AD5AA9" w:rsidRPr="008F26C4" w:rsidRDefault="00AD5AA9" w:rsidP="006A7DEE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F26C4">
        <w:rPr>
          <w:rFonts w:asciiTheme="minorHAnsi" w:hAnsiTheme="minorHAnsi" w:cstheme="minorHAnsi"/>
          <w:sz w:val="22"/>
          <w:szCs w:val="22"/>
        </w:rPr>
        <w:t>A nemzeti kisebbségek – nemzeti közösségek nyelvét és írását hivatalosan használó szervek és szervezetek részére történő költségvetési eszközök odaítéléséről szóló tartományi képviselőházi rendelet (VAT Hivatalos Lapja, 14/2015. szám) 6. szakaszának 1. bekezdése alapján, figyelemmel a Vajdaság Autonóm Tartomány 2025. évi költségvetéséről szóló tartományi képviselőházi rendelet (VAT Hivatalos Lapja, 57/2024. és 38/2025. szám - pótköltségvetés) 11. és 12. szakaszára, 23. szakaszának 4. bekezdésére, 25. és 26. szakaszára, valamint a Tartományi Oktatási, Jogalkotási, Közigazgatási és Nemzeti Kisebbségi</w:t>
      </w:r>
      <w:proofErr w:type="gramEnd"/>
      <w:r w:rsidRPr="008F26C4">
        <w:rPr>
          <w:rFonts w:asciiTheme="minorHAnsi" w:hAnsiTheme="minorHAnsi" w:cstheme="minorHAnsi"/>
          <w:sz w:val="22"/>
          <w:szCs w:val="22"/>
        </w:rPr>
        <w:t xml:space="preserve"> – Nemzeti Közösségi Titkárság költségvetési eszközeinek a nemzeti kisebbségek – nemzeti közösségek nyelvét és írását hivatalosan használó szervek és szervezetek részére történő odaítéléséről szóló szabályzat (VAT Hivatalos Lapja, 5/2025. és 39/2025. szám) 3. szakaszának 1. bekezdése és 4. szakaszának 1. bekezdése alapján, a Tartományi Oktatási, Jogalkotási, Közigazgatási és Nemzeti Kisebbségi – Nemzeti Közösségi Titkárság</w:t>
      </w:r>
    </w:p>
    <w:p w14:paraId="76EA0859" w14:textId="77777777" w:rsidR="00AD5AA9" w:rsidRPr="008F26C4" w:rsidRDefault="00AD5AA9" w:rsidP="00AD5AA9">
      <w:pPr>
        <w:ind w:left="374" w:right="94"/>
        <w:jc w:val="center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F2CDB" w14:textId="77777777" w:rsidR="00AD5AA9" w:rsidRPr="008F26C4" w:rsidRDefault="00AD5AA9" w:rsidP="00AD5AA9">
      <w:pPr>
        <w:ind w:left="374" w:right="94"/>
        <w:jc w:val="center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7787E09" w14:textId="77777777" w:rsidR="00AD5AA9" w:rsidRPr="008F26C4" w:rsidRDefault="00AD5AA9" w:rsidP="00AD5AA9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26C4">
        <w:rPr>
          <w:rFonts w:asciiTheme="minorHAnsi" w:hAnsiTheme="minorHAnsi" w:cstheme="minorHAnsi"/>
          <w:b/>
          <w:sz w:val="22"/>
          <w:szCs w:val="22"/>
        </w:rPr>
        <w:t>PÁLYÁZATOT</w:t>
      </w:r>
      <w:r w:rsidRPr="008F26C4">
        <w:rPr>
          <w:rFonts w:asciiTheme="minorHAnsi" w:hAnsiTheme="minorHAnsi" w:cstheme="minorHAnsi"/>
          <w:b/>
          <w:sz w:val="22"/>
          <w:szCs w:val="22"/>
        </w:rPr>
        <w:br/>
        <w:t>hirdet</w:t>
      </w:r>
    </w:p>
    <w:p w14:paraId="64880D1D" w14:textId="77777777" w:rsidR="00AD5AA9" w:rsidRPr="008F26C4" w:rsidRDefault="00AD5AA9" w:rsidP="00B31AA4">
      <w:pPr>
        <w:ind w:right="94"/>
        <w:rPr>
          <w:rFonts w:asciiTheme="minorHAnsi" w:hAnsiTheme="minorHAnsi" w:cstheme="minorHAnsi"/>
          <w:sz w:val="22"/>
          <w:szCs w:val="22"/>
        </w:rPr>
      </w:pPr>
    </w:p>
    <w:p w14:paraId="76AB7310" w14:textId="6079832E" w:rsidR="00AD5AA9" w:rsidRPr="008F26C4" w:rsidRDefault="00AD5AA9" w:rsidP="008F26C4">
      <w:pPr>
        <w:ind w:left="374" w:right="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26C4">
        <w:rPr>
          <w:rFonts w:asciiTheme="minorHAnsi" w:hAnsiTheme="minorHAnsi" w:cstheme="minorHAnsi"/>
          <w:b/>
          <w:sz w:val="22"/>
          <w:szCs w:val="22"/>
        </w:rPr>
        <w:t>2025. évi költségvetési eszközök odaítélésére azon Vajdaság Autonóm Tartomány területén működő szervek és szervezetek számára, amelyek munkájában hivatalos használatban van a nemzeti kisebbségek – nem</w:t>
      </w:r>
      <w:r w:rsidR="008F26C4">
        <w:rPr>
          <w:rFonts w:asciiTheme="minorHAnsi" w:hAnsiTheme="minorHAnsi" w:cstheme="minorHAnsi"/>
          <w:b/>
          <w:sz w:val="22"/>
          <w:szCs w:val="22"/>
        </w:rPr>
        <w:t>zeti közösségek nyelve és írása</w:t>
      </w:r>
    </w:p>
    <w:p w14:paraId="2A6A327C" w14:textId="77777777" w:rsidR="00AD5AA9" w:rsidRPr="008F26C4" w:rsidRDefault="00AD5AA9" w:rsidP="00AD5AA9">
      <w:pPr>
        <w:ind w:right="94"/>
        <w:jc w:val="both"/>
        <w:rPr>
          <w:rFonts w:asciiTheme="minorHAnsi" w:hAnsiTheme="minorHAnsi" w:cstheme="minorHAnsi"/>
          <w:sz w:val="22"/>
          <w:szCs w:val="22"/>
        </w:rPr>
      </w:pPr>
    </w:p>
    <w:p w14:paraId="471F9AAF" w14:textId="77777777" w:rsidR="00AD5AA9" w:rsidRPr="008F26C4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</w:p>
    <w:p w14:paraId="227E0B09" w14:textId="77777777" w:rsidR="00AD5AA9" w:rsidRPr="008F26C4" w:rsidRDefault="00AD5AA9" w:rsidP="00AD5AA9">
      <w:pPr>
        <w:ind w:left="374" w:right="94" w:firstLine="346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b/>
          <w:bCs/>
          <w:sz w:val="22"/>
          <w:szCs w:val="22"/>
        </w:rPr>
        <w:t>A 10.000.000,00 dináros keretösszeg</w:t>
      </w:r>
      <w:r w:rsidRPr="008F26C4">
        <w:rPr>
          <w:rFonts w:asciiTheme="minorHAnsi" w:hAnsiTheme="minorHAnsi" w:cstheme="minorHAnsi"/>
          <w:sz w:val="22"/>
          <w:szCs w:val="22"/>
        </w:rPr>
        <w:t xml:space="preserve"> odaítélésének célja a Vajdaság Autonóm Tartomány területén élő nemzeti kisebbségek – nemzeti közösségek nyelvének és írásának hivatalos használatára vonatkozó jogérvényesítés előmozdítása.</w:t>
      </w:r>
    </w:p>
    <w:p w14:paraId="587A1B7B" w14:textId="77777777" w:rsidR="00AD5AA9" w:rsidRPr="008F26C4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</w:p>
    <w:p w14:paraId="5C97A5E0" w14:textId="16D0D826" w:rsidR="00AD5AA9" w:rsidRPr="008F26C4" w:rsidRDefault="00AD5AA9" w:rsidP="008F26C4">
      <w:pPr>
        <w:ind w:left="374" w:right="94" w:firstLine="8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26C4">
        <w:rPr>
          <w:rFonts w:asciiTheme="minorHAnsi" w:hAnsiTheme="minorHAnsi" w:cstheme="minorHAnsi"/>
          <w:b/>
          <w:sz w:val="22"/>
          <w:szCs w:val="22"/>
        </w:rPr>
        <w:t>A pályázók köre:</w:t>
      </w:r>
    </w:p>
    <w:p w14:paraId="40C378E9" w14:textId="77777777" w:rsidR="00AD5AA9" w:rsidRPr="008F26C4" w:rsidRDefault="00AD5AA9" w:rsidP="00AD5AA9">
      <w:pPr>
        <w:ind w:left="374" w:right="9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026A1F" w14:textId="77777777" w:rsidR="00AD5AA9" w:rsidRPr="008F26C4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Vajdaság Autonóm Tartomány területén működő helyi önkormányzati szervek, amelyek városi, illetve községi alapszabálya rendelkezik a nemzeti kisebbségek – nemzeti közösségek nyelvének és írásának hivatalos használatáról a helyi önkormányzat teljes területén vagy annak egyes településein,</w:t>
      </w:r>
    </w:p>
    <w:p w14:paraId="45ADFB2E" w14:textId="77777777" w:rsidR="00AD5AA9" w:rsidRPr="008F26C4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az első fordulatban foglalt városok és községek területén működő helyi közösségek,</w:t>
      </w:r>
    </w:p>
    <w:p w14:paraId="3E89FE56" w14:textId="77777777" w:rsidR="00AD5AA9" w:rsidRPr="008F26C4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egyéb szervek, szervezetek, szolgálatok és intézmények, költségvetési eszközfelhasználók, amelyek székhelye a helyi önkormányzat területén van, vagy amelyek az első fordulatban említett helyi önkormányzat területén látják el tevékenységüket.</w:t>
      </w:r>
    </w:p>
    <w:p w14:paraId="4EEEEEED" w14:textId="77777777" w:rsidR="00AD5AA9" w:rsidRPr="008F26C4" w:rsidRDefault="00AD5AA9" w:rsidP="00AD5AA9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50D117" w14:textId="77777777" w:rsidR="00AD5AA9" w:rsidRPr="008F26C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b/>
          <w:bCs/>
          <w:sz w:val="22"/>
          <w:szCs w:val="22"/>
        </w:rPr>
        <w:t>Az eszközök odaítélése</w:t>
      </w:r>
      <w:r w:rsidRPr="008F26C4">
        <w:rPr>
          <w:rFonts w:asciiTheme="minorHAnsi" w:hAnsiTheme="minorHAnsi" w:cstheme="minorHAnsi"/>
          <w:sz w:val="22"/>
          <w:szCs w:val="22"/>
        </w:rPr>
        <w:t xml:space="preserve"> az alábbiak finanszírozását, illetve társfinanszírozását célozza:</w:t>
      </w:r>
    </w:p>
    <w:p w14:paraId="1A7234C7" w14:textId="77777777" w:rsidR="00AD5AA9" w:rsidRPr="008F26C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</w:p>
    <w:p w14:paraId="2A5F6C78" w14:textId="691ECD01" w:rsidR="000560D4" w:rsidRPr="008F26C4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 xml:space="preserve">a szerv és szervezet elnevezését, a település nevét és más földrajzi elnevezéseket az útvonalakon, az utcák és terek nevét, a közlekedési jelzéseket (közlekedési táblákat), a turisztikai jelzéseket, a </w:t>
      </w:r>
      <w:r w:rsidRPr="008F26C4">
        <w:rPr>
          <w:rFonts w:asciiTheme="minorHAnsi" w:hAnsiTheme="minorHAnsi" w:cstheme="minorHAnsi"/>
          <w:sz w:val="22"/>
          <w:szCs w:val="22"/>
        </w:rPr>
        <w:lastRenderedPageBreak/>
        <w:t>nyilvánosságnak szánt egyéb értesítéseket és figyelmeztetéseket a községben, városban vagy a településen hivatalos használatban levő nemzeti kisebbségi – nemzeti közösségi nyelven tartalmazó táblák kidolgozásának költségeire,</w:t>
      </w:r>
    </w:p>
    <w:p w14:paraId="50B6ED9D" w14:textId="7BEA1318" w:rsidR="00F247CF" w:rsidRPr="008F26C4" w:rsidRDefault="00AD5AA9" w:rsidP="00AB66A5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két- vagy többnyelvű formanyomtatványok, hivatalos közlönyök és egyéb nyilvános kiadványok nyomtatásának költségeire,</w:t>
      </w:r>
    </w:p>
    <w:p w14:paraId="14C67BC0" w14:textId="77777777" w:rsidR="00D10CCE" w:rsidRPr="008F26C4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az elektronikus közigazgatási rendszer fejlesztésére a többnyelvűség feltételeinek megvalósítása érdekében.</w:t>
      </w:r>
    </w:p>
    <w:p w14:paraId="1D8634D1" w14:textId="77777777" w:rsidR="00AD5AA9" w:rsidRPr="008F26C4" w:rsidRDefault="00AD5AA9" w:rsidP="00AD5AA9">
      <w:pPr>
        <w:ind w:left="374" w:right="94"/>
        <w:jc w:val="both"/>
        <w:rPr>
          <w:rFonts w:asciiTheme="minorHAnsi" w:hAnsiTheme="minorHAnsi" w:cstheme="minorHAnsi"/>
          <w:sz w:val="22"/>
          <w:szCs w:val="22"/>
        </w:rPr>
      </w:pPr>
    </w:p>
    <w:p w14:paraId="40A4F504" w14:textId="77777777" w:rsidR="00AD5AA9" w:rsidRPr="008F26C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b/>
          <w:bCs/>
          <w:sz w:val="22"/>
          <w:szCs w:val="22"/>
        </w:rPr>
        <w:t>Az odaítélendő eszközök mértéke</w:t>
      </w:r>
      <w:r w:rsidRPr="008F26C4">
        <w:rPr>
          <w:rFonts w:asciiTheme="minorHAnsi" w:hAnsiTheme="minorHAnsi" w:cstheme="minorHAnsi"/>
          <w:sz w:val="22"/>
          <w:szCs w:val="22"/>
        </w:rPr>
        <w:t xml:space="preserve"> az alábbi mércék szerint kerül megállapításra: </w:t>
      </w:r>
    </w:p>
    <w:p w14:paraId="1358720C" w14:textId="77777777" w:rsidR="00AD5AA9" w:rsidRPr="008F26C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</w:p>
    <w:p w14:paraId="431BF6CC" w14:textId="4BD5A200" w:rsidR="00AD5AA9" w:rsidRPr="008F26C4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az egész község, város vagy település területén hivatalos használatban levő nemzeti kisebbségi – nemzeti közösségi nyelvek és írások száma,</w:t>
      </w:r>
    </w:p>
    <w:p w14:paraId="22D7D20B" w14:textId="259F5139" w:rsidR="00AD5AA9" w:rsidRPr="008F26C4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azon nemzeti kisebbségek – nemzeti közösségek tagjainak a teljes lakosság körében mért, a Köztársasági Statisztikai Hivatal hivatalos adatai alapján, a legutóbbi népszámlálás szerinti százalékos aránya, amelyeknek nyelve és írása hivatalos használatban van,</w:t>
      </w:r>
    </w:p>
    <w:p w14:paraId="4CA1B2FB" w14:textId="32168DE9" w:rsidR="00AD5AA9" w:rsidRPr="008F26C4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tevékenység végrehajtásához szükséges összes anyagi költség,</w:t>
      </w:r>
    </w:p>
    <w:p w14:paraId="725C2FDB" w14:textId="264EEA27" w:rsidR="00AD5AA9" w:rsidRPr="008F26C4" w:rsidRDefault="0075241E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tevékenység finanszírozásához rendelkezésre álló egyéb források,</w:t>
      </w:r>
    </w:p>
    <w:p w14:paraId="55A4DB3E" w14:textId="4645426B" w:rsidR="00B445D1" w:rsidRPr="008F26C4" w:rsidRDefault="00AD5AA9" w:rsidP="00AD5AA9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tevékenység finanszírozásának folyamatossága a Titkárság részéről, illetve az eszközöket első alkalommal igénylik-e,</w:t>
      </w:r>
    </w:p>
    <w:p w14:paraId="307BCEF0" w14:textId="3C79B116" w:rsidR="00B445D1" w:rsidRPr="008F26C4" w:rsidRDefault="0075241E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felügyelőségi szolgálatok részéről a többnyelvűség előmozdítására elrendelt vagy javasolt intézkedések megléte,</w:t>
      </w:r>
    </w:p>
    <w:p w14:paraId="18BE98DE" w14:textId="238B6772" w:rsidR="00AD5AA9" w:rsidRPr="008F26C4" w:rsidRDefault="0075241E" w:rsidP="00B445D1">
      <w:pPr>
        <w:numPr>
          <w:ilvl w:val="0"/>
          <w:numId w:val="3"/>
        </w:numPr>
        <w:ind w:right="94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nemzeti tanács igazolása a tevékenység finanszírozásának fontosságáról.</w:t>
      </w:r>
    </w:p>
    <w:p w14:paraId="62FB41A8" w14:textId="77777777" w:rsidR="00AD5AA9" w:rsidRPr="008F26C4" w:rsidRDefault="00AD5AA9" w:rsidP="00AD5AA9">
      <w:pPr>
        <w:ind w:left="374" w:right="94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2AF08" w14:textId="38433162" w:rsidR="00B31AA4" w:rsidRPr="008F26C4" w:rsidRDefault="00B31AA4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pályázati dokumentáció</w:t>
      </w:r>
      <w:r w:rsidRPr="008F26C4">
        <w:rPr>
          <w:rFonts w:asciiTheme="minorHAnsi" w:hAnsiTheme="minorHAnsi" w:cstheme="minorHAnsi"/>
          <w:b/>
          <w:bCs/>
          <w:sz w:val="22"/>
          <w:szCs w:val="22"/>
        </w:rPr>
        <w:t xml:space="preserve"> 2025. augusztus 1-jétől</w:t>
      </w:r>
      <w:r w:rsidRPr="008F26C4">
        <w:rPr>
          <w:rFonts w:asciiTheme="minorHAnsi" w:hAnsiTheme="minorHAnsi" w:cstheme="minorHAnsi"/>
          <w:sz w:val="22"/>
          <w:szCs w:val="22"/>
        </w:rPr>
        <w:t xml:space="preserve"> vehető át a Titkárság irodahelyiségeiben, vagy letölthető a Titkárság www.puma.vojvodina.gov.rs honlapjáról.</w:t>
      </w:r>
    </w:p>
    <w:p w14:paraId="53D1C06A" w14:textId="5B362DB5" w:rsidR="00AD5AA9" w:rsidRPr="008F26C4" w:rsidRDefault="00AD5AA9" w:rsidP="00B31AA4">
      <w:pPr>
        <w:ind w:left="374" w:right="94" w:firstLine="9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 xml:space="preserve">A pályázati kérelmek benyújtási határideje </w:t>
      </w:r>
      <w:r w:rsidRPr="008F26C4">
        <w:rPr>
          <w:rFonts w:asciiTheme="minorHAnsi" w:hAnsiTheme="minorHAnsi" w:cstheme="minorHAnsi"/>
          <w:b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2025. augusztus 25.</w:t>
      </w:r>
    </w:p>
    <w:p w14:paraId="22C8552B" w14:textId="77777777" w:rsidR="00AD5AA9" w:rsidRPr="008F26C4" w:rsidRDefault="00B445D1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pályázati kérelmek kizárólag a Titkárság pályázati formanyomtatványán, szerb nyelven, vagy a Vajdaság Autonóm Tartomány szerveiben hivatalos használatban levő nemzeti kisebbségi – nemzeti közösségi nyelven nyújthatók be.</w:t>
      </w:r>
    </w:p>
    <w:p w14:paraId="7A782ABC" w14:textId="77777777" w:rsidR="00AD5AA9" w:rsidRPr="008F26C4" w:rsidRDefault="00AD5AA9" w:rsidP="00AD5AA9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</w:p>
    <w:p w14:paraId="6F0C5F83" w14:textId="77777777" w:rsidR="00B445D1" w:rsidRPr="008F26C4" w:rsidRDefault="00B445D1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 xml:space="preserve">A pályázati kérelmek benyújthatók: </w:t>
      </w:r>
    </w:p>
    <w:p w14:paraId="48B9101D" w14:textId="77777777" w:rsidR="00B31AA4" w:rsidRPr="008F26C4" w:rsidRDefault="00B31AA4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</w:p>
    <w:p w14:paraId="7EABF52F" w14:textId="77777777" w:rsidR="00B445D1" w:rsidRPr="008F26C4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1. személyesen, Újvidéken a tartományi közigazgatási szervek iktatójában,</w:t>
      </w:r>
    </w:p>
    <w:p w14:paraId="25EA054F" w14:textId="77777777" w:rsidR="00B445D1" w:rsidRPr="008F26C4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 xml:space="preserve">2. postán: </w:t>
      </w:r>
    </w:p>
    <w:p w14:paraId="1DDA7DA5" w14:textId="28603157" w:rsidR="00B445D1" w:rsidRPr="008F26C4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Pokrajinski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sekretarijat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za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obrazovanje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propise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upravu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i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nacionalne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manjine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nacionalne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zajednice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Bulevar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Mihajla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Pupina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16, 21000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Novi</w:t>
      </w:r>
      <w:proofErr w:type="spellEnd"/>
      <w:r w:rsidRPr="008F26C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F26C4">
        <w:rPr>
          <w:rFonts w:asciiTheme="minorHAnsi" w:hAnsiTheme="minorHAnsi" w:cstheme="minorHAnsi"/>
          <w:i/>
          <w:iCs/>
          <w:sz w:val="22"/>
          <w:szCs w:val="22"/>
        </w:rPr>
        <w:t>Sad</w:t>
      </w:r>
      <w:proofErr w:type="spellEnd"/>
      <w:r w:rsidRPr="008F26C4">
        <w:rPr>
          <w:rFonts w:asciiTheme="minorHAnsi" w:hAnsiTheme="minorHAnsi" w:cstheme="minorHAnsi"/>
          <w:sz w:val="22"/>
          <w:szCs w:val="22"/>
        </w:rPr>
        <w:br/>
        <w:t xml:space="preserve">(Tartományi Oktatási, Jogalkotási, Közigazgatási és Nemzeti Kisebbségi – Nemzeti Közösségi Titkárság, </w:t>
      </w:r>
      <w:proofErr w:type="spellStart"/>
      <w:r w:rsidRPr="008F26C4">
        <w:rPr>
          <w:rFonts w:asciiTheme="minorHAnsi" w:hAnsiTheme="minorHAnsi" w:cstheme="minorHAnsi"/>
          <w:sz w:val="22"/>
          <w:szCs w:val="22"/>
        </w:rPr>
        <w:t>Mihajlo</w:t>
      </w:r>
      <w:proofErr w:type="spellEnd"/>
      <w:r w:rsidRPr="008F2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F26C4">
        <w:rPr>
          <w:rFonts w:asciiTheme="minorHAnsi" w:hAnsiTheme="minorHAnsi" w:cstheme="minorHAnsi"/>
          <w:sz w:val="22"/>
          <w:szCs w:val="22"/>
        </w:rPr>
        <w:t>Pupin</w:t>
      </w:r>
      <w:proofErr w:type="spellEnd"/>
      <w:r w:rsidRPr="008F26C4">
        <w:rPr>
          <w:rFonts w:asciiTheme="minorHAnsi" w:hAnsiTheme="minorHAnsi" w:cstheme="minorHAnsi"/>
          <w:sz w:val="22"/>
          <w:szCs w:val="22"/>
        </w:rPr>
        <w:t xml:space="preserve"> sugárút 16</w:t>
      </w:r>
      <w:proofErr w:type="gramStart"/>
      <w:r w:rsidRPr="008F26C4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8F26C4">
        <w:rPr>
          <w:rFonts w:asciiTheme="minorHAnsi" w:hAnsiTheme="minorHAnsi" w:cstheme="minorHAnsi"/>
          <w:sz w:val="22"/>
          <w:szCs w:val="22"/>
        </w:rPr>
        <w:t xml:space="preserve"> 21000 Újvidék) címre,</w:t>
      </w:r>
    </w:p>
    <w:p w14:paraId="37BF67BD" w14:textId="77777777" w:rsidR="008A45C8" w:rsidRPr="008F26C4" w:rsidRDefault="008A45C8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</w:p>
    <w:p w14:paraId="31E348C1" w14:textId="0D30AD89" w:rsidR="00B31AA4" w:rsidRPr="008F26C4" w:rsidRDefault="00B31AA4" w:rsidP="008A45C8">
      <w:pPr>
        <w:ind w:right="94"/>
        <w:jc w:val="center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i/>
          <w:iCs/>
          <w:sz w:val="22"/>
          <w:szCs w:val="22"/>
        </w:rPr>
        <w:t>ZA KONKURS – DODELA</w:t>
      </w:r>
      <w:r w:rsidR="008F26C4">
        <w:rPr>
          <w:rFonts w:asciiTheme="minorHAnsi" w:hAnsiTheme="minorHAnsi" w:cstheme="minorHAnsi"/>
          <w:i/>
          <w:iCs/>
          <w:sz w:val="22"/>
          <w:szCs w:val="22"/>
        </w:rPr>
        <w:t xml:space="preserve"> BUDŽETSKIH SREDSTAVA ORGANIMA </w:t>
      </w:r>
      <w:r w:rsidRPr="008F26C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I ORGANIZACIJAMA U </w:t>
      </w:r>
      <w:r w:rsidR="008F26C4">
        <w:rPr>
          <w:rFonts w:asciiTheme="minorHAnsi" w:hAnsiTheme="minorHAnsi" w:cstheme="minorHAnsi"/>
          <w:i/>
          <w:iCs/>
          <w:sz w:val="22"/>
          <w:szCs w:val="22"/>
        </w:rPr>
        <w:t xml:space="preserve">AUTONOMNOJ POKRAJINI VOJVODINI </w:t>
      </w:r>
      <w:r w:rsidRPr="008F26C4">
        <w:rPr>
          <w:rFonts w:asciiTheme="minorHAnsi" w:hAnsiTheme="minorHAnsi" w:cstheme="minorHAnsi"/>
          <w:i/>
          <w:iCs/>
          <w:sz w:val="22"/>
          <w:szCs w:val="22"/>
        </w:rPr>
        <w:br/>
        <w:t>U ČIJEM RADU SU U SLUŽBENOJ UPOTREBI JEZICI I PISMA NACIONALNIH MANJINA – NACIONALNIH ZAJEDNICA ZA 2025. GODINU</w:t>
      </w:r>
      <w:r w:rsidR="008F26C4">
        <w:rPr>
          <w:rFonts w:asciiTheme="minorHAnsi" w:hAnsiTheme="minorHAnsi" w:cstheme="minorHAnsi"/>
          <w:sz w:val="22"/>
          <w:szCs w:val="22"/>
        </w:rPr>
        <w:t xml:space="preserve"> </w:t>
      </w:r>
      <w:r w:rsidRPr="008F26C4">
        <w:rPr>
          <w:rFonts w:asciiTheme="minorHAnsi" w:hAnsiTheme="minorHAnsi" w:cstheme="minorHAnsi"/>
          <w:sz w:val="22"/>
          <w:szCs w:val="22"/>
        </w:rPr>
        <w:br/>
        <w:t>(PÁLYÁZAT 2025. ÉVI KÖLTSÉGVETÉSI ESZKÖZÖK ODAÍTÉLÉSÉRE AZON VAJDASÁG AUTONÓM TARTOMÁNY TERÜLETÉN MŰKÖDŐ SZERVEK ÉS SZERVEZETEK SZÁMÁRA, AMELYEK MUNKÁJÁBAN HIVATALOS HASZNÁLATBAN VAN A NEMZETI KISEBBSÉGEK – NEMZETI KÖZÖSSÉGEK NYELVE ÉS ÍRÁSA) megjelöléssel.</w:t>
      </w:r>
    </w:p>
    <w:p w14:paraId="58CDA2A0" w14:textId="2D6366A0" w:rsidR="00B31AA4" w:rsidRPr="008F26C4" w:rsidRDefault="00B31AA4" w:rsidP="008A45C8">
      <w:pPr>
        <w:ind w:right="94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737D6" w14:textId="4414D876" w:rsidR="008A45C8" w:rsidRPr="008F26C4" w:rsidRDefault="00AD5AA9" w:rsidP="008A45C8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Ha egy alapon pályáznak, a pályázati kérelmeket</w:t>
      </w:r>
      <w:r w:rsidRPr="008F26C4">
        <w:rPr>
          <w:rFonts w:asciiTheme="minorHAnsi" w:hAnsiTheme="minorHAnsi" w:cstheme="minorHAnsi"/>
          <w:b/>
          <w:bCs/>
          <w:sz w:val="22"/>
          <w:szCs w:val="22"/>
        </w:rPr>
        <w:t xml:space="preserve"> két példányban kell benyújtani</w:t>
      </w:r>
      <w:r w:rsidRPr="008F26C4">
        <w:rPr>
          <w:rFonts w:asciiTheme="minorHAnsi" w:hAnsiTheme="minorHAnsi" w:cstheme="minorHAnsi"/>
          <w:sz w:val="22"/>
          <w:szCs w:val="22"/>
        </w:rPr>
        <w:t xml:space="preserve">, a pályázó meghatalmazott képviselőjének hitelesítésével és aláírásával ellátott </w:t>
      </w:r>
      <w:r w:rsidRPr="008F26C4">
        <w:rPr>
          <w:rFonts w:asciiTheme="minorHAnsi" w:hAnsiTheme="minorHAnsi" w:cstheme="minorHAnsi"/>
          <w:b/>
          <w:bCs/>
          <w:sz w:val="22"/>
          <w:szCs w:val="22"/>
        </w:rPr>
        <w:t>két nyilatkozattal.</w:t>
      </w:r>
      <w:r w:rsidRPr="008F26C4">
        <w:rPr>
          <w:rFonts w:asciiTheme="minorHAnsi" w:hAnsiTheme="minorHAnsi" w:cstheme="minorHAnsi"/>
          <w:sz w:val="22"/>
          <w:szCs w:val="22"/>
        </w:rPr>
        <w:t xml:space="preserve"> </w:t>
      </w:r>
      <w:r w:rsidRPr="008F26C4">
        <w:rPr>
          <w:rFonts w:asciiTheme="minorHAnsi" w:hAnsiTheme="minorHAnsi" w:cstheme="minorHAnsi"/>
          <w:sz w:val="22"/>
          <w:szCs w:val="22"/>
        </w:rPr>
        <w:lastRenderedPageBreak/>
        <w:t>Amennyiben több alapon pályáznak, akkor minden egyes alapra külön-külön két példányt, valamint két hitelesített</w:t>
      </w:r>
      <w:r w:rsidR="008F26C4">
        <w:rPr>
          <w:rFonts w:asciiTheme="minorHAnsi" w:hAnsiTheme="minorHAnsi" w:cstheme="minorHAnsi"/>
          <w:sz w:val="22"/>
          <w:szCs w:val="22"/>
        </w:rPr>
        <w:t xml:space="preserve"> nyilatkozatot kell benyújtani.</w:t>
      </w:r>
    </w:p>
    <w:p w14:paraId="1A1454CC" w14:textId="7EDFFEEE" w:rsidR="00D75CF0" w:rsidRPr="008F26C4" w:rsidRDefault="00D75CF0" w:rsidP="008A45C8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pályázók számára nincs megszabva, hogy hány pályázatot nyújthatnak be. Ha egy pályázó több pályázatot nyújt be, akkor valamennyi pályázatát külön küldeményként kell megküldenie. Emellett minden egyes rendeltetéshez kül</w:t>
      </w:r>
      <w:r w:rsidR="008F26C4">
        <w:rPr>
          <w:rFonts w:asciiTheme="minorHAnsi" w:hAnsiTheme="minorHAnsi" w:cstheme="minorHAnsi"/>
          <w:sz w:val="22"/>
          <w:szCs w:val="22"/>
        </w:rPr>
        <w:t>ön pályázatot kell benyújtania.</w:t>
      </w:r>
    </w:p>
    <w:p w14:paraId="5AAD0377" w14:textId="77777777" w:rsidR="00AD5AA9" w:rsidRPr="008F26C4" w:rsidRDefault="00AD5AA9" w:rsidP="00B445D1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Titkárság nem bírálja el a késve benyújtott vagy hiányos pályázati kérelmeket, amelyeket a hiánypótlási határidő után sem pótoltak, valamint azokat a kérelmeket, amelyek eltérnek a Pályázatban előirányzott rendeltetéstől, vagy jogosulatlan személyek nyújtottak be.</w:t>
      </w:r>
    </w:p>
    <w:p w14:paraId="3A6AD282" w14:textId="4D28EB04" w:rsidR="00B445D1" w:rsidRPr="008F26C4" w:rsidRDefault="00B445D1" w:rsidP="00B31AA4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 xml:space="preserve">A Titkárság a Pályázat alapján kizárólag azokat a tevékenységeket </w:t>
      </w:r>
      <w:proofErr w:type="spellStart"/>
      <w:r w:rsidRPr="008F26C4">
        <w:rPr>
          <w:rFonts w:asciiTheme="minorHAnsi" w:hAnsiTheme="minorHAnsi" w:cstheme="minorHAnsi"/>
          <w:sz w:val="22"/>
          <w:szCs w:val="22"/>
        </w:rPr>
        <w:t>társfinanszírozza</w:t>
      </w:r>
      <w:proofErr w:type="spellEnd"/>
      <w:r w:rsidRPr="008F26C4">
        <w:rPr>
          <w:rFonts w:asciiTheme="minorHAnsi" w:hAnsiTheme="minorHAnsi" w:cstheme="minorHAnsi"/>
          <w:sz w:val="22"/>
          <w:szCs w:val="22"/>
        </w:rPr>
        <w:t>, amelyeket a Pályázat meghirdetésének napjától kezdődően 2025. december 31-éig valósítanak meg.</w:t>
      </w:r>
    </w:p>
    <w:p w14:paraId="21532B9D" w14:textId="77777777" w:rsidR="00B31AA4" w:rsidRPr="008F26C4" w:rsidRDefault="00B31AA4" w:rsidP="00B31A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BCE8A6" w14:textId="7B5F2CBB" w:rsidR="00EF711D" w:rsidRPr="008F26C4" w:rsidRDefault="00B31AA4" w:rsidP="00EF711D">
      <w:pPr>
        <w:ind w:left="374" w:right="94" w:firstLine="998"/>
        <w:jc w:val="both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A Pályázattal kapcsolatos kiegészítő tájékoztatás a Titkárságon kapható a 021/487 4677 telefonszámon, e-mailben a livia.bata@vojvodina.gov.rs címen, illetve a Titkárság www.puma.vojvodina.gov.rs. honlapján.</w:t>
      </w:r>
    </w:p>
    <w:p w14:paraId="4DEC4F51" w14:textId="27A80967" w:rsidR="008F26C4" w:rsidRDefault="008F26C4" w:rsidP="00E94564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7D7B72" w14:textId="0CF5CC1D" w:rsidR="008F26C4" w:rsidRDefault="008F26C4" w:rsidP="00E94564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CA42636" w14:textId="505ACFDD" w:rsidR="008F26C4" w:rsidRDefault="008F26C4" w:rsidP="00E94564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E540DA" w14:textId="77777777" w:rsidR="008F26C4" w:rsidRDefault="008F26C4" w:rsidP="00E94564">
      <w:pPr>
        <w:tabs>
          <w:tab w:val="center" w:pos="720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5633524" w14:textId="28A8962D" w:rsidR="008F26C4" w:rsidRDefault="008F26C4" w:rsidP="008F26C4">
      <w:pPr>
        <w:tabs>
          <w:tab w:val="center" w:pos="720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8F26C4">
        <w:rPr>
          <w:rFonts w:asciiTheme="minorHAnsi" w:hAnsiTheme="minorHAnsi" w:cstheme="minorHAnsi"/>
          <w:sz w:val="22"/>
          <w:szCs w:val="22"/>
        </w:rPr>
        <w:t>Ótott</w:t>
      </w:r>
      <w:proofErr w:type="spellEnd"/>
      <w:r w:rsidRPr="008F26C4">
        <w:rPr>
          <w:rFonts w:asciiTheme="minorHAnsi" w:hAnsiTheme="minorHAnsi" w:cstheme="minorHAnsi"/>
          <w:sz w:val="22"/>
          <w:szCs w:val="22"/>
        </w:rPr>
        <w:t xml:space="preserve"> Róbert</w:t>
      </w:r>
    </w:p>
    <w:p w14:paraId="04966B34" w14:textId="38939945" w:rsidR="008F2BFE" w:rsidRPr="008F26C4" w:rsidRDefault="003A063A" w:rsidP="008F26C4">
      <w:pPr>
        <w:tabs>
          <w:tab w:val="center" w:pos="720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F26C4">
        <w:rPr>
          <w:rFonts w:asciiTheme="minorHAnsi" w:hAnsiTheme="minorHAnsi" w:cstheme="minorHAnsi"/>
          <w:sz w:val="22"/>
          <w:szCs w:val="22"/>
        </w:rPr>
        <w:t>Tartományi titkár</w:t>
      </w:r>
    </w:p>
    <w:sectPr w:rsidR="008F2BFE" w:rsidRPr="008F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05B7F"/>
    <w:rsid w:val="00051F21"/>
    <w:rsid w:val="000560D4"/>
    <w:rsid w:val="00062E1E"/>
    <w:rsid w:val="00063DE0"/>
    <w:rsid w:val="00074EE0"/>
    <w:rsid w:val="0008163C"/>
    <w:rsid w:val="00081D50"/>
    <w:rsid w:val="00086C9B"/>
    <w:rsid w:val="00087533"/>
    <w:rsid w:val="000932D8"/>
    <w:rsid w:val="000B59E6"/>
    <w:rsid w:val="000C0972"/>
    <w:rsid w:val="000F2203"/>
    <w:rsid w:val="000F5C44"/>
    <w:rsid w:val="00102FD6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B727B"/>
    <w:rsid w:val="001C4E12"/>
    <w:rsid w:val="001F5546"/>
    <w:rsid w:val="00237AD6"/>
    <w:rsid w:val="00243075"/>
    <w:rsid w:val="0025198E"/>
    <w:rsid w:val="002757DC"/>
    <w:rsid w:val="002A2BFA"/>
    <w:rsid w:val="002A5248"/>
    <w:rsid w:val="002A66E2"/>
    <w:rsid w:val="002F7C7D"/>
    <w:rsid w:val="00300248"/>
    <w:rsid w:val="0030158B"/>
    <w:rsid w:val="00310B1A"/>
    <w:rsid w:val="0034712E"/>
    <w:rsid w:val="00360A1A"/>
    <w:rsid w:val="00370CCA"/>
    <w:rsid w:val="00383ECB"/>
    <w:rsid w:val="00393B27"/>
    <w:rsid w:val="003A063A"/>
    <w:rsid w:val="003E2008"/>
    <w:rsid w:val="003E2845"/>
    <w:rsid w:val="003F7351"/>
    <w:rsid w:val="0042705C"/>
    <w:rsid w:val="00435474"/>
    <w:rsid w:val="00453C4B"/>
    <w:rsid w:val="004A596D"/>
    <w:rsid w:val="004C2BA7"/>
    <w:rsid w:val="004E787F"/>
    <w:rsid w:val="005108D5"/>
    <w:rsid w:val="0051347F"/>
    <w:rsid w:val="005237B9"/>
    <w:rsid w:val="00551124"/>
    <w:rsid w:val="00581A0A"/>
    <w:rsid w:val="00585542"/>
    <w:rsid w:val="005A1128"/>
    <w:rsid w:val="005C28B7"/>
    <w:rsid w:val="005D0411"/>
    <w:rsid w:val="00610904"/>
    <w:rsid w:val="00666B5A"/>
    <w:rsid w:val="0067486B"/>
    <w:rsid w:val="006A7DEE"/>
    <w:rsid w:val="006F47A7"/>
    <w:rsid w:val="00726F4A"/>
    <w:rsid w:val="0072734B"/>
    <w:rsid w:val="00736CB5"/>
    <w:rsid w:val="0075241E"/>
    <w:rsid w:val="00766BAF"/>
    <w:rsid w:val="007A5E01"/>
    <w:rsid w:val="007B1993"/>
    <w:rsid w:val="007C4A42"/>
    <w:rsid w:val="007D6CA0"/>
    <w:rsid w:val="008A0FFC"/>
    <w:rsid w:val="008A45C8"/>
    <w:rsid w:val="008B6E8E"/>
    <w:rsid w:val="008F0B78"/>
    <w:rsid w:val="008F26C4"/>
    <w:rsid w:val="008F2BFE"/>
    <w:rsid w:val="009108C7"/>
    <w:rsid w:val="009232C9"/>
    <w:rsid w:val="00953D69"/>
    <w:rsid w:val="009565DC"/>
    <w:rsid w:val="0096700E"/>
    <w:rsid w:val="009A7AE2"/>
    <w:rsid w:val="009D5C85"/>
    <w:rsid w:val="00A32851"/>
    <w:rsid w:val="00A92839"/>
    <w:rsid w:val="00AB66A5"/>
    <w:rsid w:val="00AC1747"/>
    <w:rsid w:val="00AD0702"/>
    <w:rsid w:val="00AD5AA9"/>
    <w:rsid w:val="00B05E58"/>
    <w:rsid w:val="00B14F25"/>
    <w:rsid w:val="00B31AA4"/>
    <w:rsid w:val="00B445D1"/>
    <w:rsid w:val="00BA1A67"/>
    <w:rsid w:val="00BD6AAD"/>
    <w:rsid w:val="00C06C5B"/>
    <w:rsid w:val="00C219A5"/>
    <w:rsid w:val="00C66E84"/>
    <w:rsid w:val="00C96697"/>
    <w:rsid w:val="00CD0EB3"/>
    <w:rsid w:val="00CE7832"/>
    <w:rsid w:val="00D10CCE"/>
    <w:rsid w:val="00D55E74"/>
    <w:rsid w:val="00D71141"/>
    <w:rsid w:val="00D72E9C"/>
    <w:rsid w:val="00D73397"/>
    <w:rsid w:val="00D75CF0"/>
    <w:rsid w:val="00D82389"/>
    <w:rsid w:val="00DA149F"/>
    <w:rsid w:val="00E91541"/>
    <w:rsid w:val="00E94564"/>
    <w:rsid w:val="00EC42AD"/>
    <w:rsid w:val="00ED1040"/>
    <w:rsid w:val="00EE09F2"/>
    <w:rsid w:val="00EE14D2"/>
    <w:rsid w:val="00EF711D"/>
    <w:rsid w:val="00F1177C"/>
    <w:rsid w:val="00F247CF"/>
    <w:rsid w:val="00F40271"/>
    <w:rsid w:val="00F53918"/>
    <w:rsid w:val="00F5767D"/>
    <w:rsid w:val="00F86894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hu-HU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customStyle="1" w:styleId="xmsonormal">
    <w:name w:val="x_msonormal"/>
    <w:basedOn w:val="Normal"/>
    <w:rsid w:val="00766B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via.bata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5B28-79F7-4BC8-88B7-1B46532D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5895</Characters>
  <Application>Microsoft Office Word</Application>
  <DocSecurity>0</DocSecurity>
  <Lines>129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Sabina Terteli</cp:lastModifiedBy>
  <cp:revision>6</cp:revision>
  <cp:lastPrinted>2025-07-30T07:51:00Z</cp:lastPrinted>
  <dcterms:created xsi:type="dcterms:W3CDTF">2025-07-30T07:59:00Z</dcterms:created>
  <dcterms:modified xsi:type="dcterms:W3CDTF">2025-08-01T12:15:00Z</dcterms:modified>
</cp:coreProperties>
</file>