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3721"/>
        <w:gridCol w:w="3929"/>
      </w:tblGrid>
      <w:tr w:rsidR="00D82389" w:rsidRPr="00D82389" w:rsidTr="00F8689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Република Сербия</w:t>
            </w:r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Автономна покраїна Войводина</w:t>
            </w:r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Покраїнски секретарият за образованє, предписаня,</w:t>
            </w:r>
          </w:p>
          <w:p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управу и национални меншини – национални заєднїци</w:t>
            </w: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Булевар Михайла Пупина 16, 21000 Нови Сад</w:t>
            </w: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Тел.: +381 21  487  46 77</w:t>
            </w:r>
          </w:p>
          <w:p w:rsidR="00177144" w:rsidRPr="00D82389" w:rsidRDefault="00C90BE8" w:rsidP="00D73397">
            <w:pPr>
              <w:rPr>
                <w:rFonts w:ascii="Verdana" w:eastAsia="Calibri" w:hAnsi="Verdana"/>
                <w:sz w:val="16"/>
                <w:szCs w:val="16"/>
              </w:rPr>
            </w:pPr>
            <w:hyperlink r:id="rId7" w:history="1">
              <w:r w:rsidR="006F47A7">
                <w:rPr>
                  <w:rStyle w:val="Hyperlink"/>
                  <w:rFonts w:ascii="Verdana" w:hAnsi="Verdana"/>
                  <w:sz w:val="16"/>
                  <w:szCs w:val="16"/>
                </w:rPr>
                <w:t>livia.bata@vojvodinа.gov.rs</w:t>
              </w:r>
            </w:hyperlink>
            <w:r w:rsidR="006F47A7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D82389" w:rsidRPr="00D82389" w:rsidTr="00005B7F">
        <w:trPr>
          <w:trHeight w:val="305"/>
        </w:trPr>
        <w:tc>
          <w:tcPr>
            <w:tcW w:w="2550" w:type="dxa"/>
            <w:gridSpan w:val="2"/>
          </w:tcPr>
          <w:p w:rsidR="00177144" w:rsidRPr="00D82389" w:rsidRDefault="00177144" w:rsidP="00F8689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721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F86894" w:rsidRDefault="00177144" w:rsidP="007D6CA0">
            <w:pPr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ЧИСЛО: 003334904 2025 09427 005 001 084 013</w:t>
            </w:r>
          </w:p>
        </w:tc>
        <w:tc>
          <w:tcPr>
            <w:tcW w:w="3929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34712E" w:rsidRDefault="000E4D99" w:rsidP="00F5767D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 ДАТУМ: </w:t>
            </w:r>
            <w:r w:rsidR="00005B7F">
              <w:rPr>
                <w:rFonts w:ascii="Verdana" w:hAnsi="Verdana"/>
                <w:sz w:val="14"/>
                <w:szCs w:val="14"/>
              </w:rPr>
              <w:t>1.8.2025. року</w:t>
            </w:r>
          </w:p>
        </w:tc>
      </w:tr>
      <w:tr w:rsidR="00D82389" w:rsidRPr="00D82389" w:rsidTr="00005B7F">
        <w:trPr>
          <w:trHeight w:val="305"/>
        </w:trPr>
        <w:tc>
          <w:tcPr>
            <w:tcW w:w="1275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4996" w:type="dxa"/>
            <w:gridSpan w:val="2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29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:rsidR="00AD5AA9" w:rsidRPr="00D82389" w:rsidRDefault="00AD5AA9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основи члена 6. пасус 1. Покраїнскей скупштинскей одлуки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14/15) у вязи зоз членом 11, 12, 23. пасус 4, 25. и 26. Покраїнскей скупштинскей одлуки о буджету Автономней покраїни Войводини за 2025. рок («Службeни новини АПВ», число 57/2024 и </w:t>
      </w:r>
      <w:r w:rsidR="000E4D99">
        <w:rPr>
          <w:rFonts w:ascii="Verdana" w:hAnsi="Verdana"/>
          <w:sz w:val="20"/>
          <w:szCs w:val="20"/>
          <w:lang w:val="sr-Latn-RS"/>
        </w:rPr>
        <w:t>38/</w:t>
      </w:r>
      <w:r w:rsidR="000E4D99">
        <w:rPr>
          <w:rFonts w:ascii="Verdana" w:hAnsi="Verdana"/>
          <w:sz w:val="20"/>
          <w:szCs w:val="20"/>
        </w:rPr>
        <w:t>20205 –</w:t>
      </w:r>
      <w:r w:rsidR="000E4D99">
        <w:rPr>
          <w:rFonts w:ascii="Verdana" w:hAnsi="Verdana"/>
          <w:sz w:val="20"/>
          <w:szCs w:val="20"/>
          <w:lang w:val="sr-Latn-RS"/>
        </w:rPr>
        <w:t xml:space="preserve"> </w:t>
      </w:r>
      <w:proofErr w:type="spellStart"/>
      <w:r w:rsidR="000E4D99">
        <w:rPr>
          <w:rFonts w:ascii="Verdana" w:hAnsi="Verdana"/>
          <w:sz w:val="20"/>
          <w:szCs w:val="20"/>
          <w:lang w:val="en-US"/>
        </w:rPr>
        <w:t>ребаланс</w:t>
      </w:r>
      <w:proofErr w:type="spellEnd"/>
      <w:r w:rsidR="000E4D99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и члена 3. пасус 1. и члена 4. пасус 1.</w:t>
      </w:r>
      <w:r w:rsidR="000E4D9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орґаном и орґанизацийом у чиєй ше роботи службено хаснує язики и писма националних меншинох – националних заєднїцох (</w:t>
      </w:r>
      <w:r w:rsidR="000E4D99">
        <w:rPr>
          <w:rFonts w:ascii="Verdana" w:hAnsi="Verdana"/>
          <w:sz w:val="20"/>
          <w:szCs w:val="20"/>
        </w:rPr>
        <w:t>«Службени новини АПВ», число 5/</w:t>
      </w:r>
      <w:r>
        <w:rPr>
          <w:rFonts w:ascii="Verdana" w:hAnsi="Verdana"/>
          <w:sz w:val="20"/>
          <w:szCs w:val="20"/>
        </w:rPr>
        <w:t>2025 и 39/2023), Покраїнски секретарият за образованє, предписаня, управу и национални меншини – национални заєднїци, розписує</w:t>
      </w:r>
    </w:p>
    <w:p w:rsidR="00AD5AA9" w:rsidRPr="000B59E6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 О Н К У Р С</w:t>
      </w:r>
    </w:p>
    <w:p w:rsidR="00AD5AA9" w:rsidRPr="00D82389" w:rsidRDefault="00AD5AA9" w:rsidP="00B31AA4">
      <w:pPr>
        <w:ind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за додзельованє буджетних средствох орґаном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и орґанизацийом у Автономней покраїни Войводини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у чиєй роботи ше службено хаснує язики и писма националних меншинох – националних заєднїцох за 2025.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рок </w:t>
      </w:r>
    </w:p>
    <w:p w:rsidR="00AD5AA9" w:rsidRPr="00D8238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3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Средства у суми 10.000.000,00 динари</w:t>
      </w:r>
      <w:r>
        <w:rPr>
          <w:rFonts w:ascii="Verdana" w:hAnsi="Verdana"/>
          <w:sz w:val="20"/>
          <w:szCs w:val="20"/>
        </w:rPr>
        <w:t xml:space="preserve"> ше додзелює пре унапредзенє витворйованя права на службене хаснованє язикох и писмох националних меншинох – националних заєднїцох у Автономней покраїни Войводини.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Право участвовац на конкурсу маю:</w:t>
      </w:r>
    </w:p>
    <w:p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орґани єдинкох локалней самоуправи з териториї Автономней покраїни Войводини, у хторих зоз статутом городу, односно општини утвердзене службене хаснованє язикох и писмох националних меншинох – националних заєднїцох на цалей териториї єдинки локалней самоуправи або у населєних местох на їх териториї;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месни заєднїци на териториї городох и општинох зоз алинеї єден;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други орґани, орґанизациї, служби и установи, хаснователє буджетних средствох, хтори маю шедзиско на териториї локалней самоуправи або хтори окончую дїялносц на териториї локалней самоуправи, з алинеї єден.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Средства ше додзелює</w:t>
      </w:r>
      <w:r>
        <w:rPr>
          <w:rFonts w:ascii="Verdana" w:hAnsi="Verdana"/>
          <w:sz w:val="20"/>
          <w:szCs w:val="20"/>
        </w:rPr>
        <w:t xml:space="preserve"> за финансованє, односно участвованє у финансованю: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D82389" w:rsidRDefault="003A0CE2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</w:t>
      </w:r>
      <w:r w:rsidR="00AD5AA9">
        <w:rPr>
          <w:rFonts w:ascii="Verdana" w:hAnsi="Verdana"/>
          <w:sz w:val="20"/>
          <w:szCs w:val="20"/>
        </w:rPr>
        <w:t>рошкох за виробок и поставянє таблох з назву орґанох и орґанизацийох, назву населєних местох и других ґеоґрафских назвох на драгових напрямох, назву улїцох и площох, транспортних знакох, туристичней и транспортней сиґнализациї, як и других информацийох и спозореньох за явносц хтори виписани на язикох националних меншинох – националних заєднїцох хтори ше службено хаснує у општини, городзе або населєним месце;</w:t>
      </w:r>
    </w:p>
    <w:p w:rsidR="00F247CF" w:rsidRPr="0008163C" w:rsidRDefault="00AD5AA9" w:rsidP="00AB66A5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друкованє двоязичних або вецейязичних формуларох, службених глашнїкох и других явних публикацийох;</w:t>
      </w:r>
    </w:p>
    <w:p w:rsidR="00D10CCE" w:rsidRPr="00D82389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розвой системи електронскей управи за роботу у условийох вецейязичносци.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Висину средствох</w:t>
      </w:r>
      <w:r>
        <w:rPr>
          <w:rFonts w:ascii="Verdana" w:hAnsi="Verdana"/>
          <w:sz w:val="20"/>
          <w:szCs w:val="20"/>
        </w:rPr>
        <w:t xml:space="preserve"> за додзельованє ше утвердзує на основи тих критериюмох: 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C10B5F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число язикох</w:t>
      </w:r>
      <w:r w:rsidR="00AD5AA9">
        <w:rPr>
          <w:rFonts w:ascii="Verdana" w:hAnsi="Verdana"/>
          <w:sz w:val="20"/>
          <w:szCs w:val="20"/>
        </w:rPr>
        <w:t xml:space="preserve"> и писмох националних меншинох – националних заєднїцох хтори ше службено хаснує на цалей териториї општини, городу або населєного места,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процентуалней учасци припаднїкох националних меншинох – националних заєднїцох чийо ше язики и писма службено хаснує у вкупним чишлє жительства по урядових податкох Републичного заводу за статистику, на основи остатнього попису жительства;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вкупни материялни трошки яки потребни за реализацию активносцох;</w:t>
      </w:r>
    </w:p>
    <w:p w:rsidR="00AD5AA9" w:rsidRPr="00D82389" w:rsidRDefault="0075241E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иснованє других жридлох финансованя активносцох;</w:t>
      </w:r>
    </w:p>
    <w:p w:rsidR="00B445D1" w:rsidRDefault="00C10B5F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континуитет</w:t>
      </w:r>
      <w:r w:rsidR="00AD5AA9">
        <w:rPr>
          <w:rFonts w:ascii="Verdana" w:hAnsi="Verdana"/>
          <w:sz w:val="20"/>
          <w:szCs w:val="20"/>
        </w:rPr>
        <w:t xml:space="preserve"> у финансованю активносцох од Секретарияту, односно чи ше средства пита першираз;</w:t>
      </w:r>
    </w:p>
    <w:p w:rsidR="00B445D1" w:rsidRPr="004A596D" w:rsidRDefault="0075241E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иснованє наложених або препоручених мирох за унапредзенє активносцох на унапредзеню вецейязичносци од инспекцийних службох;</w:t>
      </w:r>
    </w:p>
    <w:p w:rsidR="00AD5AA9" w:rsidRPr="004A596D" w:rsidRDefault="0075241E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иснованє потвердзеня од националного совиту националней меншини о значносци финансованя активносци.</w:t>
      </w:r>
    </w:p>
    <w:p w:rsidR="00AD5AA9" w:rsidRPr="00102FD6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1AA4" w:rsidRPr="00894E54" w:rsidRDefault="00B31AA4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 w:rsidRPr="00894E54">
        <w:rPr>
          <w:rFonts w:ascii="Verdana" w:hAnsi="Verdana"/>
          <w:sz w:val="20"/>
          <w:szCs w:val="20"/>
        </w:rPr>
        <w:t xml:space="preserve">Конкурсну документацию мож превжац од </w:t>
      </w:r>
      <w:hyperlink r:id="rId8" w:history="1">
        <w:r w:rsidRPr="00894E54">
          <w:rPr>
            <w:rFonts w:ascii="Verdana" w:hAnsi="Verdana"/>
            <w:sz w:val="20"/>
            <w:szCs w:val="20"/>
          </w:rPr>
          <w:t>1</w:t>
        </w:r>
        <w:r w:rsidR="00894E54">
          <w:rPr>
            <w:rFonts w:ascii="Verdana" w:hAnsi="Verdana"/>
            <w:sz w:val="20"/>
            <w:szCs w:val="20"/>
          </w:rPr>
          <w:t xml:space="preserve">. авґуста </w:t>
        </w:r>
        <w:r w:rsidRPr="00894E54">
          <w:rPr>
            <w:rFonts w:ascii="Verdana" w:hAnsi="Verdana"/>
            <w:sz w:val="20"/>
            <w:szCs w:val="20"/>
          </w:rPr>
          <w:t>2025. року</w:t>
        </w:r>
      </w:hyperlink>
      <w:r w:rsidRPr="00894E54">
        <w:rPr>
          <w:rFonts w:ascii="Verdana" w:hAnsi="Verdana"/>
          <w:sz w:val="20"/>
          <w:szCs w:val="20"/>
        </w:rPr>
        <w:t xml:space="preserve"> у просторийох Секретарияту або на веб-адреси Секретарияту www.puma.vojvodina.gov.rs.</w:t>
      </w:r>
    </w:p>
    <w:p w:rsidR="00AD5AA9" w:rsidRPr="00B31AA4" w:rsidRDefault="00894E54" w:rsidP="00B31AA4">
      <w:pPr>
        <w:ind w:left="374" w:right="94" w:firstLine="99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Термин за подношенє приявох на К</w:t>
      </w:r>
      <w:r w:rsidR="00AD5AA9">
        <w:rPr>
          <w:rFonts w:ascii="Verdana" w:hAnsi="Verdana"/>
          <w:b/>
          <w:bCs/>
          <w:sz w:val="20"/>
          <w:szCs w:val="20"/>
        </w:rPr>
        <w:t>онкурс то 25. авґуст 2025.</w:t>
      </w:r>
      <w:r w:rsidR="00AD5AA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5AA9">
        <w:rPr>
          <w:rFonts w:ascii="Verdana" w:hAnsi="Verdana"/>
          <w:b/>
          <w:sz w:val="20"/>
          <w:szCs w:val="20"/>
        </w:rPr>
        <w:t>року.</w:t>
      </w:r>
    </w:p>
    <w:p w:rsidR="00AD5AA9" w:rsidRPr="00D82389" w:rsidRDefault="00B445D1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Прияви на конкурс ше подноши лєм на конкурсних формуларох Секретарияту, на сербским язику або на язику националней меншини – националней заєднїци хтори ше службено хаснує у орґанох Автономней покраїни Войводини.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B445D1" w:rsidRPr="004A596D" w:rsidRDefault="00B445D1" w:rsidP="00B445D1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Прияви ше подноши: </w:t>
      </w:r>
    </w:p>
    <w:p w:rsidR="00B31AA4" w:rsidRPr="004A596D" w:rsidRDefault="00B31AA4" w:rsidP="00B445D1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B445D1" w:rsidRPr="004A596D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особнє з придаваньом на писарнїцу покраїнских орґанох управи у Новим Садзе;</w:t>
      </w:r>
    </w:p>
    <w:p w:rsidR="00B445D1" w:rsidRPr="004A596D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по пошти на адресу: </w:t>
      </w:r>
    </w:p>
    <w:p w:rsidR="00B445D1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заєднїци- Булевар Михайла Пупина 16, 21000 Нови Сад</w:t>
      </w:r>
    </w:p>
    <w:p w:rsidR="008A45C8" w:rsidRPr="004A596D" w:rsidRDefault="008A45C8" w:rsidP="00B31AA4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B31AA4" w:rsidRPr="004A596D" w:rsidRDefault="00B31AA4" w:rsidP="008A45C8">
      <w:pPr>
        <w:ind w:right="9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КОНКУРС: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– НАЦИОНАЛНИХ ЗАЄДНЇЦОХ ЗА 2025. РОК</w:t>
      </w:r>
    </w:p>
    <w:p w:rsidR="00B31AA4" w:rsidRPr="00102FD6" w:rsidRDefault="00B31AA4" w:rsidP="008A45C8">
      <w:pPr>
        <w:ind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45C8" w:rsidRDefault="00AD5AA9" w:rsidP="008A45C8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Прияви на конкурс ше доручує </w:t>
      </w:r>
      <w:r>
        <w:rPr>
          <w:rFonts w:ascii="Verdana" w:hAnsi="Verdana"/>
          <w:b/>
          <w:bCs/>
          <w:sz w:val="20"/>
          <w:szCs w:val="20"/>
        </w:rPr>
        <w:t>у двох прикладнїкох з двома виявами</w:t>
      </w:r>
      <w:r>
        <w:rPr>
          <w:rFonts w:ascii="Verdana" w:hAnsi="Verdana"/>
          <w:sz w:val="20"/>
          <w:szCs w:val="20"/>
        </w:rPr>
        <w:t xml:space="preserve"> хтори оверела и подписала овласцена особа подношителя прияви, кед ше конкурує по єдней основи, а кед ше конкурує источашнє и по вецей основох, прияви ше доручує у двох прикладнїкох за кажду основу, зоз истим числом оверених виявох. </w:t>
      </w:r>
    </w:p>
    <w:p w:rsidR="00D75CF0" w:rsidRPr="008A45C8" w:rsidRDefault="00D75CF0" w:rsidP="008A45C8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Нєт огранїченя у поглядзе числа приявох яки може поднєсц єден подношитель. У случаю вецей приявох єдного подношителя, кажду прияву од истого подношителя ше муши послац як окремну посилку, односно за кажди наменку ше подноши окремну прияву.  </w:t>
      </w:r>
    </w:p>
    <w:p w:rsidR="00AD5AA9" w:rsidRDefault="00AD5AA9" w:rsidP="00B445D1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Нє будзе ше розпатрац нєблагочасни або нєподполни прияви, при хторих нєдостаток нє одстранєни по указованю, як анї прияви хтори ше нє одноша на з</w:t>
      </w:r>
      <w:r w:rsidR="00894E54">
        <w:rPr>
          <w:rFonts w:ascii="Verdana" w:hAnsi="Verdana"/>
          <w:sz w:val="20"/>
          <w:szCs w:val="20"/>
        </w:rPr>
        <w:t>оз К</w:t>
      </w:r>
      <w:r>
        <w:rPr>
          <w:rFonts w:ascii="Verdana" w:hAnsi="Verdana"/>
          <w:sz w:val="20"/>
          <w:szCs w:val="20"/>
        </w:rPr>
        <w:t>онкурсом предвидзени наменки</w:t>
      </w:r>
      <w:r w:rsidR="00894E5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або хтори поднєсли нєовласцени особи.</w:t>
      </w:r>
    </w:p>
    <w:p w:rsidR="00B445D1" w:rsidRPr="004A596D" w:rsidRDefault="00B445D1" w:rsidP="00B31AA4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Секретарият по Конкурсу софинансує лєм активносци яки ше реализує у периоду од</w:t>
      </w:r>
      <w:r w:rsidR="00894E54">
        <w:rPr>
          <w:rFonts w:ascii="Verdana" w:hAnsi="Verdana"/>
          <w:sz w:val="20"/>
          <w:szCs w:val="20"/>
        </w:rPr>
        <w:t xml:space="preserve"> розписованя К</w:t>
      </w:r>
      <w:r>
        <w:rPr>
          <w:rFonts w:ascii="Verdana" w:hAnsi="Verdana"/>
          <w:sz w:val="20"/>
          <w:szCs w:val="20"/>
        </w:rPr>
        <w:t>онкурсу по 31.12.2025. року.</w:t>
      </w:r>
    </w:p>
    <w:p w:rsidR="00B31AA4" w:rsidRDefault="00B31AA4" w:rsidP="00B31AA4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F711D" w:rsidRPr="004A596D" w:rsidRDefault="00894E54" w:rsidP="00EF711D">
      <w:pPr>
        <w:ind w:left="374" w:right="94" w:firstLine="9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Додатни информациї о Я</w:t>
      </w:r>
      <w:r w:rsidR="00B31AA4">
        <w:rPr>
          <w:rFonts w:ascii="Verdana" w:hAnsi="Verdana"/>
          <w:sz w:val="20"/>
          <w:szCs w:val="20"/>
        </w:rPr>
        <w:t xml:space="preserve">вним конкурсу мож достац у Секретарияту, на число телефона: 021/ 487 4677, по е-пошти </w:t>
      </w:r>
      <w:hyperlink r:id="rId9" w:history="1">
        <w:r w:rsidR="00B31AA4">
          <w:rPr>
            <w:rFonts w:ascii="Verdana" w:hAnsi="Verdana"/>
            <w:sz w:val="20"/>
            <w:szCs w:val="20"/>
          </w:rPr>
          <w:t>livia.bata@vojvodina.gov.rs</w:t>
        </w:r>
      </w:hyperlink>
      <w:r w:rsidR="00B31AA4">
        <w:rPr>
          <w:rFonts w:ascii="Verdana" w:hAnsi="Verdana"/>
          <w:sz w:val="20"/>
          <w:szCs w:val="20"/>
        </w:rPr>
        <w:t xml:space="preserve"> або интернет-презентациї Секретарияту на адреси: www.puma.vojvodina.gov.rs.</w:t>
      </w:r>
    </w:p>
    <w:p w:rsidR="00B31AA4" w:rsidRDefault="00B31AA4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Default="006A7DEE" w:rsidP="00B31AA4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E94564" w:rsidRDefault="003A063A" w:rsidP="00894E54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>
        <w:rPr>
          <w:b/>
          <w:bCs/>
          <w:sz w:val="20"/>
          <w:szCs w:val="20"/>
        </w:rPr>
        <w:t xml:space="preserve">                              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rFonts w:ascii="Calibri" w:hAnsi="Calibri"/>
          <w:szCs w:val="22"/>
        </w:rPr>
        <w:t>Покраїнски секретар,</w:t>
      </w:r>
    </w:p>
    <w:p w:rsidR="00E94564" w:rsidRPr="00EE09F2" w:rsidRDefault="00E94564" w:rsidP="00894E54">
      <w:pPr>
        <w:tabs>
          <w:tab w:val="left" w:pos="2730"/>
          <w:tab w:val="center" w:pos="7200"/>
        </w:tabs>
        <w:rPr>
          <w:b/>
          <w:bCs/>
          <w:color w:val="FF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Роберт Отот</w:t>
      </w:r>
    </w:p>
    <w:p w:rsidR="003A063A" w:rsidRPr="0096700E" w:rsidRDefault="003A063A" w:rsidP="00894E54">
      <w:pPr>
        <w:spacing w:line="276" w:lineRule="auto"/>
        <w:ind w:left="4248" w:firstLine="708"/>
        <w:rPr>
          <w:b/>
          <w:bCs/>
          <w:color w:val="FF0000"/>
          <w:lang w:val="sr-Cyrl-RS" w:eastAsia="en-GB"/>
        </w:rPr>
      </w:pPr>
    </w:p>
    <w:p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D82389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AD5AA9" w:rsidRPr="00D82389" w:rsidRDefault="00AD5AA9" w:rsidP="00AD5AA9">
      <w:pPr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8F2BFE" w:rsidRPr="00D82389" w:rsidRDefault="008F2BFE" w:rsidP="00170BF5">
      <w:pPr>
        <w:rPr>
          <w:lang w:val="sr-Cyrl-RS"/>
        </w:rPr>
      </w:pPr>
    </w:p>
    <w:sectPr w:rsidR="008F2BFE" w:rsidRPr="00D8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05B7F"/>
    <w:rsid w:val="00051F21"/>
    <w:rsid w:val="000560D4"/>
    <w:rsid w:val="00062E1E"/>
    <w:rsid w:val="00063DE0"/>
    <w:rsid w:val="00074EE0"/>
    <w:rsid w:val="0008163C"/>
    <w:rsid w:val="00081D50"/>
    <w:rsid w:val="00086C9B"/>
    <w:rsid w:val="00087533"/>
    <w:rsid w:val="000932D8"/>
    <w:rsid w:val="000B59E6"/>
    <w:rsid w:val="000C0972"/>
    <w:rsid w:val="000C7C16"/>
    <w:rsid w:val="000E4D99"/>
    <w:rsid w:val="000F2203"/>
    <w:rsid w:val="000F5C44"/>
    <w:rsid w:val="00102FD6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B727B"/>
    <w:rsid w:val="001C4E12"/>
    <w:rsid w:val="001F5546"/>
    <w:rsid w:val="00237AD6"/>
    <w:rsid w:val="00243075"/>
    <w:rsid w:val="00243BB8"/>
    <w:rsid w:val="0025198E"/>
    <w:rsid w:val="002757DC"/>
    <w:rsid w:val="002A5248"/>
    <w:rsid w:val="002A66E2"/>
    <w:rsid w:val="002F7C7D"/>
    <w:rsid w:val="00300248"/>
    <w:rsid w:val="0030158B"/>
    <w:rsid w:val="00310B1A"/>
    <w:rsid w:val="00342475"/>
    <w:rsid w:val="0034712E"/>
    <w:rsid w:val="00360A1A"/>
    <w:rsid w:val="00370CCA"/>
    <w:rsid w:val="00383ECB"/>
    <w:rsid w:val="00393B27"/>
    <w:rsid w:val="003A063A"/>
    <w:rsid w:val="003A0CE2"/>
    <w:rsid w:val="003E2008"/>
    <w:rsid w:val="003E2845"/>
    <w:rsid w:val="003F7351"/>
    <w:rsid w:val="0042705C"/>
    <w:rsid w:val="00435474"/>
    <w:rsid w:val="00453C4B"/>
    <w:rsid w:val="004A596D"/>
    <w:rsid w:val="004C2BA7"/>
    <w:rsid w:val="004E787F"/>
    <w:rsid w:val="005108D5"/>
    <w:rsid w:val="0051347F"/>
    <w:rsid w:val="005237B9"/>
    <w:rsid w:val="00551124"/>
    <w:rsid w:val="00581A0A"/>
    <w:rsid w:val="00585542"/>
    <w:rsid w:val="005A1128"/>
    <w:rsid w:val="005C28B7"/>
    <w:rsid w:val="005D0411"/>
    <w:rsid w:val="00610904"/>
    <w:rsid w:val="00666B5A"/>
    <w:rsid w:val="0067486B"/>
    <w:rsid w:val="006A7DEE"/>
    <w:rsid w:val="006F47A7"/>
    <w:rsid w:val="00726F4A"/>
    <w:rsid w:val="0072734B"/>
    <w:rsid w:val="00736CB5"/>
    <w:rsid w:val="0075241E"/>
    <w:rsid w:val="00756B71"/>
    <w:rsid w:val="00766BAF"/>
    <w:rsid w:val="007902C9"/>
    <w:rsid w:val="007A5E01"/>
    <w:rsid w:val="007B1993"/>
    <w:rsid w:val="007C4A42"/>
    <w:rsid w:val="007D6CA0"/>
    <w:rsid w:val="00894E54"/>
    <w:rsid w:val="008A0FFC"/>
    <w:rsid w:val="008A45C8"/>
    <w:rsid w:val="008B6E8E"/>
    <w:rsid w:val="008F0B78"/>
    <w:rsid w:val="008F2BFE"/>
    <w:rsid w:val="009108C7"/>
    <w:rsid w:val="009232C9"/>
    <w:rsid w:val="00953D69"/>
    <w:rsid w:val="009565DC"/>
    <w:rsid w:val="0096700E"/>
    <w:rsid w:val="009A7AE2"/>
    <w:rsid w:val="009D5C85"/>
    <w:rsid w:val="00A32851"/>
    <w:rsid w:val="00A92839"/>
    <w:rsid w:val="00AB66A5"/>
    <w:rsid w:val="00AC1747"/>
    <w:rsid w:val="00AD0702"/>
    <w:rsid w:val="00AD5AA9"/>
    <w:rsid w:val="00AE124B"/>
    <w:rsid w:val="00B05E58"/>
    <w:rsid w:val="00B14F25"/>
    <w:rsid w:val="00B31AA4"/>
    <w:rsid w:val="00B445D1"/>
    <w:rsid w:val="00BA1A67"/>
    <w:rsid w:val="00BD6AAD"/>
    <w:rsid w:val="00C06C5B"/>
    <w:rsid w:val="00C10B5F"/>
    <w:rsid w:val="00C219A5"/>
    <w:rsid w:val="00C66E84"/>
    <w:rsid w:val="00C96697"/>
    <w:rsid w:val="00CD0EB3"/>
    <w:rsid w:val="00CD1551"/>
    <w:rsid w:val="00CE7832"/>
    <w:rsid w:val="00D10CCE"/>
    <w:rsid w:val="00D53C65"/>
    <w:rsid w:val="00D55E74"/>
    <w:rsid w:val="00D71141"/>
    <w:rsid w:val="00D72E9C"/>
    <w:rsid w:val="00D73397"/>
    <w:rsid w:val="00D75CF0"/>
    <w:rsid w:val="00D82389"/>
    <w:rsid w:val="00DA149F"/>
    <w:rsid w:val="00E91541"/>
    <w:rsid w:val="00E91C87"/>
    <w:rsid w:val="00E94564"/>
    <w:rsid w:val="00EC42AD"/>
    <w:rsid w:val="00ED1040"/>
    <w:rsid w:val="00EE09F2"/>
    <w:rsid w:val="00EE14D2"/>
    <w:rsid w:val="00EF711D"/>
    <w:rsid w:val="00F1177C"/>
    <w:rsid w:val="00F247CF"/>
    <w:rsid w:val="00F40271"/>
    <w:rsid w:val="00F53918"/>
    <w:rsid w:val="00F5767D"/>
    <w:rsid w:val="00F7637F"/>
    <w:rsid w:val="00F86894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xmsonormal">
    <w:name w:val="x_msonormal"/>
    <w:basedOn w:val="Normal"/>
    <w:rsid w:val="00766B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via.bata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via.bat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C19A-5B25-4E8D-B3C4-B069C7A4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Natasa Perkovic</cp:lastModifiedBy>
  <cp:revision>2</cp:revision>
  <cp:lastPrinted>2025-07-30T07:51:00Z</cp:lastPrinted>
  <dcterms:created xsi:type="dcterms:W3CDTF">2025-08-01T07:27:00Z</dcterms:created>
  <dcterms:modified xsi:type="dcterms:W3CDTF">2025-08-01T07:27:00Z</dcterms:modified>
</cp:coreProperties>
</file>