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1" w:type="dxa"/>
        <w:tblInd w:w="-580" w:type="dxa"/>
        <w:tblLayout w:type="fixed"/>
        <w:tblLook w:val="04A0" w:firstRow="1" w:lastRow="0" w:firstColumn="1" w:lastColumn="0" w:noHBand="0" w:noVBand="1"/>
      </w:tblPr>
      <w:tblGrid>
        <w:gridCol w:w="2550"/>
        <w:gridCol w:w="4126"/>
        <w:gridCol w:w="3595"/>
      </w:tblGrid>
      <w:tr w:rsidR="009C4C57" w:rsidRPr="00FF4D56" w:rsidTr="00FC2863">
        <w:trPr>
          <w:trHeight w:val="1975"/>
        </w:trPr>
        <w:tc>
          <w:tcPr>
            <w:tcW w:w="2550" w:type="dxa"/>
            <w:hideMark/>
          </w:tcPr>
          <w:p w:rsidR="009C4C57" w:rsidRPr="00FF4D56" w:rsidRDefault="009C4C57" w:rsidP="00F8616C">
            <w:pPr>
              <w:tabs>
                <w:tab w:val="center" w:pos="4703"/>
                <w:tab w:val="right" w:pos="9406"/>
              </w:tabs>
              <w:ind w:left="-198" w:firstLine="108"/>
              <w:rPr>
                <w:rFonts w:asciiTheme="minorHAnsi" w:eastAsia="Calibri" w:hAnsiTheme="minorHAnsi" w:cstheme="minorHAnsi"/>
                <w:color w:val="000000"/>
                <w:sz w:val="22"/>
                <w:szCs w:val="22"/>
              </w:rPr>
            </w:pPr>
            <w:r w:rsidRPr="00FF4D56">
              <w:rPr>
                <w:rFonts w:asciiTheme="minorHAnsi" w:hAnsiTheme="minorHAnsi" w:cstheme="minorHAnsi"/>
                <w:noProof/>
                <w:color w:val="000000"/>
                <w:lang w:val="en-US"/>
              </w:rPr>
              <w:drawing>
                <wp:inline distT="0" distB="0" distL="0" distR="0">
                  <wp:extent cx="1381125" cy="895350"/>
                  <wp:effectExtent l="0" t="0" r="9525" b="0"/>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895350"/>
                          </a:xfrm>
                          <a:prstGeom prst="rect">
                            <a:avLst/>
                          </a:prstGeom>
                          <a:noFill/>
                          <a:ln>
                            <a:noFill/>
                          </a:ln>
                        </pic:spPr>
                      </pic:pic>
                    </a:graphicData>
                  </a:graphic>
                </wp:inline>
              </w:drawing>
            </w:r>
          </w:p>
        </w:tc>
        <w:tc>
          <w:tcPr>
            <w:tcW w:w="7721" w:type="dxa"/>
            <w:gridSpan w:val="2"/>
          </w:tcPr>
          <w:p w:rsidR="009C4C57" w:rsidRPr="00FF4D56" w:rsidRDefault="009C4C57" w:rsidP="00F8616C">
            <w:pPr>
              <w:tabs>
                <w:tab w:val="center" w:pos="4703"/>
                <w:tab w:val="right" w:pos="9406"/>
              </w:tabs>
              <w:rPr>
                <w:rFonts w:asciiTheme="minorHAnsi" w:hAnsiTheme="minorHAnsi" w:cstheme="minorHAnsi"/>
                <w:sz w:val="18"/>
                <w:szCs w:val="18"/>
              </w:rPr>
            </w:pPr>
            <w:r>
              <w:rPr>
                <w:rFonts w:asciiTheme="minorHAnsi" w:hAnsiTheme="minorHAnsi"/>
                <w:sz w:val="18"/>
                <w:szCs w:val="18"/>
              </w:rPr>
              <w:t>Republica Serbia</w:t>
            </w:r>
          </w:p>
          <w:p w:rsidR="009C4C57" w:rsidRPr="00FF4D56" w:rsidRDefault="009C4C57" w:rsidP="00F8616C">
            <w:pPr>
              <w:rPr>
                <w:rFonts w:asciiTheme="minorHAnsi" w:hAnsiTheme="minorHAnsi" w:cstheme="minorHAnsi"/>
                <w:sz w:val="18"/>
                <w:szCs w:val="18"/>
              </w:rPr>
            </w:pPr>
            <w:r>
              <w:rPr>
                <w:rFonts w:asciiTheme="minorHAnsi" w:hAnsiTheme="minorHAnsi"/>
                <w:sz w:val="18"/>
                <w:szCs w:val="18"/>
              </w:rPr>
              <w:t>Provincia Autonomă Voivodina</w:t>
            </w:r>
          </w:p>
          <w:p w:rsidR="009C4C57" w:rsidRPr="00FF4D56" w:rsidRDefault="009C4C57" w:rsidP="00F8616C">
            <w:pPr>
              <w:rPr>
                <w:rFonts w:asciiTheme="minorHAnsi" w:hAnsiTheme="minorHAnsi" w:cstheme="minorHAnsi"/>
                <w:b/>
                <w:sz w:val="18"/>
                <w:szCs w:val="18"/>
              </w:rPr>
            </w:pPr>
            <w:r>
              <w:rPr>
                <w:rFonts w:asciiTheme="minorHAnsi" w:hAnsiTheme="minorHAnsi"/>
                <w:b/>
                <w:sz w:val="18"/>
                <w:szCs w:val="18"/>
              </w:rPr>
              <w:t>Secretariatul Provincial pentru Educaţie, Reglementări,</w:t>
            </w:r>
          </w:p>
          <w:p w:rsidR="009C4C57" w:rsidRPr="00FF4D56" w:rsidRDefault="009C4C57" w:rsidP="00F8616C">
            <w:pPr>
              <w:rPr>
                <w:rFonts w:asciiTheme="minorHAnsi" w:hAnsiTheme="minorHAnsi" w:cstheme="minorHAnsi"/>
                <w:b/>
                <w:sz w:val="18"/>
                <w:szCs w:val="18"/>
              </w:rPr>
            </w:pPr>
            <w:r>
              <w:rPr>
                <w:rFonts w:asciiTheme="minorHAnsi" w:hAnsiTheme="minorHAnsi"/>
                <w:b/>
                <w:sz w:val="18"/>
                <w:szCs w:val="18"/>
              </w:rPr>
              <w:t>Administraţie şi Minorităţile Naţionale - Comunităţile Naţionale</w:t>
            </w:r>
          </w:p>
          <w:p w:rsidR="009C4C57" w:rsidRPr="00FF4D56" w:rsidRDefault="009C4C57" w:rsidP="00F8616C">
            <w:pPr>
              <w:tabs>
                <w:tab w:val="center" w:pos="4703"/>
                <w:tab w:val="right" w:pos="9406"/>
              </w:tabs>
              <w:rPr>
                <w:rFonts w:asciiTheme="minorHAnsi" w:hAnsiTheme="minorHAnsi" w:cstheme="minorHAnsi"/>
                <w:sz w:val="18"/>
                <w:szCs w:val="18"/>
              </w:rPr>
            </w:pPr>
          </w:p>
          <w:p w:rsidR="009C4C57" w:rsidRPr="00FF4D56" w:rsidRDefault="009C4C57" w:rsidP="00F8616C">
            <w:pPr>
              <w:tabs>
                <w:tab w:val="center" w:pos="4703"/>
                <w:tab w:val="right" w:pos="9406"/>
              </w:tabs>
              <w:rPr>
                <w:rFonts w:asciiTheme="minorHAnsi" w:hAnsiTheme="minorHAnsi" w:cstheme="minorHAnsi"/>
                <w:sz w:val="18"/>
                <w:szCs w:val="18"/>
              </w:rPr>
            </w:pPr>
            <w:r>
              <w:rPr>
                <w:rFonts w:asciiTheme="minorHAnsi" w:hAnsiTheme="minorHAnsi"/>
                <w:sz w:val="18"/>
                <w:szCs w:val="18"/>
              </w:rPr>
              <w:t>Bulevar Mihajla Pupina 16, 21000 Novi Sad</w:t>
            </w:r>
          </w:p>
          <w:p w:rsidR="00DE4203" w:rsidRDefault="009C4C57" w:rsidP="00DE4203">
            <w:pPr>
              <w:tabs>
                <w:tab w:val="center" w:pos="4703"/>
                <w:tab w:val="right" w:pos="9406"/>
              </w:tabs>
              <w:rPr>
                <w:rFonts w:asciiTheme="minorHAnsi" w:hAnsiTheme="minorHAnsi" w:cstheme="minorHAnsi"/>
                <w:sz w:val="18"/>
                <w:szCs w:val="18"/>
              </w:rPr>
            </w:pPr>
            <w:r>
              <w:rPr>
                <w:rFonts w:asciiTheme="minorHAnsi" w:hAnsiTheme="minorHAnsi"/>
                <w:sz w:val="18"/>
                <w:szCs w:val="18"/>
              </w:rPr>
              <w:t xml:space="preserve">T: +381 21  487  </w:t>
            </w:r>
            <w:r>
              <w:rPr>
                <w:rFonts w:asciiTheme="minorHAnsi" w:hAnsiTheme="minorHAnsi"/>
                <w:color w:val="000000"/>
                <w:sz w:val="18"/>
                <w:szCs w:val="18"/>
              </w:rPr>
              <w:t>46 77</w:t>
            </w:r>
          </w:p>
          <w:p w:rsidR="009C4C57" w:rsidRPr="00FF4D56" w:rsidRDefault="00F8616C" w:rsidP="00DE4203">
            <w:pPr>
              <w:tabs>
                <w:tab w:val="center" w:pos="4703"/>
                <w:tab w:val="right" w:pos="9406"/>
              </w:tabs>
              <w:rPr>
                <w:rFonts w:asciiTheme="minorHAnsi" w:eastAsia="Calibri" w:hAnsiTheme="minorHAnsi" w:cstheme="minorHAnsi"/>
                <w:color w:val="000000"/>
                <w:sz w:val="18"/>
                <w:szCs w:val="18"/>
              </w:rPr>
            </w:pPr>
            <w:r>
              <w:rPr>
                <w:rFonts w:asciiTheme="minorHAnsi" w:hAnsiTheme="minorHAnsi"/>
                <w:sz w:val="18"/>
                <w:szCs w:val="18"/>
              </w:rPr>
              <w:t>ounz@vojvodinа.gov.rs</w:t>
            </w:r>
          </w:p>
        </w:tc>
      </w:tr>
      <w:tr w:rsidR="00FF6C8E" w:rsidRPr="00FF6C8E" w:rsidTr="00FC2863">
        <w:trPr>
          <w:trHeight w:val="272"/>
        </w:trPr>
        <w:tc>
          <w:tcPr>
            <w:tcW w:w="2550" w:type="dxa"/>
          </w:tcPr>
          <w:p w:rsidR="009C4C57" w:rsidRPr="00FF6C8E" w:rsidRDefault="009C4C57" w:rsidP="00F8616C">
            <w:pPr>
              <w:tabs>
                <w:tab w:val="center" w:pos="4703"/>
                <w:tab w:val="right" w:pos="9406"/>
              </w:tabs>
              <w:ind w:left="-198" w:firstLine="108"/>
              <w:rPr>
                <w:rFonts w:asciiTheme="minorHAnsi" w:eastAsia="Calibri" w:hAnsiTheme="minorHAnsi" w:cstheme="minorHAnsi"/>
                <w:noProof/>
                <w:sz w:val="22"/>
                <w:szCs w:val="22"/>
                <w:lang w:val="ru-RU"/>
              </w:rPr>
            </w:pPr>
          </w:p>
        </w:tc>
        <w:tc>
          <w:tcPr>
            <w:tcW w:w="4126" w:type="dxa"/>
          </w:tcPr>
          <w:p w:rsidR="009C4C57" w:rsidRPr="00FF6C8E" w:rsidRDefault="009C4C57" w:rsidP="00F8616C">
            <w:pPr>
              <w:tabs>
                <w:tab w:val="center" w:pos="4703"/>
                <w:tab w:val="right" w:pos="9406"/>
              </w:tabs>
              <w:rPr>
                <w:rFonts w:asciiTheme="minorHAnsi" w:hAnsiTheme="minorHAnsi" w:cstheme="minorHAnsi"/>
                <w:sz w:val="18"/>
                <w:szCs w:val="18"/>
              </w:rPr>
            </w:pPr>
            <w:r>
              <w:rPr>
                <w:rFonts w:asciiTheme="minorHAnsi" w:hAnsiTheme="minorHAnsi"/>
                <w:sz w:val="18"/>
                <w:szCs w:val="18"/>
              </w:rPr>
              <w:t>NUMĂRUL: 003334904 2025 09427 005 001 084 013</w:t>
            </w:r>
          </w:p>
        </w:tc>
        <w:tc>
          <w:tcPr>
            <w:tcW w:w="3595" w:type="dxa"/>
          </w:tcPr>
          <w:p w:rsidR="009C4C57" w:rsidRPr="00FF6C8E" w:rsidRDefault="009C4C57" w:rsidP="00E94149">
            <w:pPr>
              <w:tabs>
                <w:tab w:val="center" w:pos="4703"/>
                <w:tab w:val="right" w:pos="9406"/>
              </w:tabs>
              <w:rPr>
                <w:rFonts w:asciiTheme="minorHAnsi" w:hAnsiTheme="minorHAnsi" w:cstheme="minorHAnsi"/>
                <w:sz w:val="18"/>
                <w:szCs w:val="18"/>
              </w:rPr>
            </w:pPr>
            <w:r>
              <w:rPr>
                <w:rFonts w:asciiTheme="minorHAnsi" w:hAnsiTheme="minorHAnsi"/>
                <w:sz w:val="18"/>
                <w:szCs w:val="18"/>
              </w:rPr>
              <w:t>DATA: 02.10.2025</w:t>
            </w:r>
          </w:p>
        </w:tc>
      </w:tr>
    </w:tbl>
    <w:p w:rsidR="001A7145" w:rsidRPr="00FF6C8E" w:rsidRDefault="001A7145" w:rsidP="00DE4203">
      <w:pPr>
        <w:ind w:firstLine="720"/>
        <w:jc w:val="both"/>
        <w:rPr>
          <w:rFonts w:asciiTheme="minorHAnsi" w:hAnsiTheme="minorHAnsi" w:cstheme="minorHAnsi"/>
          <w:sz w:val="22"/>
          <w:szCs w:val="22"/>
          <w:lang w:val="sr-Cyrl-RS"/>
        </w:rPr>
      </w:pPr>
    </w:p>
    <w:p w:rsidR="00531514" w:rsidRPr="00FF6C8E" w:rsidRDefault="009C4C57" w:rsidP="003812D1">
      <w:pPr>
        <w:ind w:firstLine="720"/>
        <w:jc w:val="both"/>
        <w:rPr>
          <w:rFonts w:asciiTheme="minorHAnsi" w:hAnsiTheme="minorHAnsi" w:cstheme="minorHAnsi"/>
          <w:sz w:val="22"/>
          <w:szCs w:val="22"/>
        </w:rPr>
      </w:pPr>
      <w:r>
        <w:rPr>
          <w:rFonts w:asciiTheme="minorHAnsi" w:hAnsiTheme="minorHAnsi"/>
          <w:sz w:val="22"/>
          <w:szCs w:val="22"/>
        </w:rPr>
        <w:t xml:space="preserve">În baza art. 15, 16, alineatul 5 şi 24 alineatul 2 din din Hotărârea Adunării Provinciei privind administrația provincială (Buletinul oficial al P.A.V.", numărul 37/2014, 54/2014 – altă reglementare şi 37/ 2016, 29/2017, 24/2019, 66/2020, 38/2021 și 22/2025), articolului 9 din Hotărârea Adunării Provinciei privind  repartizarea mijloacelor bugetare organelor și organizațiilor în actvitatea cărora sunt în uz oficial limbile și grafiile minorităților naționale („Buletinul oficial al P.A.V.”, numărul: 14/2015), raportat la articolul 11 şi 23 alineatul 4 </w:t>
      </w:r>
      <w:r w:rsidRPr="00F7167A">
        <w:rPr>
          <w:rFonts w:asciiTheme="minorHAnsi" w:hAnsiTheme="minorHAnsi" w:cstheme="minorHAnsi"/>
          <w:sz w:val="22"/>
          <w:szCs w:val="22"/>
        </w:rPr>
        <w:t>din Hotărârea Adunării Provinciei privind bugetul Provinciei Autonome Voivodina pentru anul 2025 („Buletinul oficial al P.A.V.”, nr. 57/2024 şi 38/2025-reechilibrare) și art.</w:t>
      </w:r>
      <w:r>
        <w:rPr>
          <w:rFonts w:asciiTheme="minorHAnsi" w:hAnsiTheme="minorHAnsi"/>
          <w:sz w:val="22"/>
          <w:szCs w:val="22"/>
        </w:rPr>
        <w:t xml:space="preserve"> 10 din Regulamentul privind repartizarea mijloacelor bugetare ale Secretariatului Provincial pentru Educaţie, Reglementări, Administraţie şi Minorităţile Naţionale - Comunităţile Naţionale organelor şi organizaţiilor în a căror activitate sunt în uz oficial limbile şi grafiile minorităţilor naţionale - comunităţilor naţionale („Buletinul oficial al P.A.V.”, numărul 39/2025), conform Concursului realizat  pentru repartizarea mijloacelor bugetare organelor şi organizaţiilor din Provincia Autonomă Voivodina în a căror activitate sunt în uz oficial limbile şi grafiile minorităţilor naţionale - comunităţilor naţionale pentru anul 2025 numărul:</w:t>
      </w:r>
      <w:r>
        <w:t xml:space="preserve"> </w:t>
      </w:r>
      <w:r>
        <w:rPr>
          <w:rFonts w:asciiTheme="minorHAnsi" w:hAnsiTheme="minorHAnsi"/>
          <w:sz w:val="22"/>
          <w:szCs w:val="22"/>
        </w:rPr>
        <w:t>003334904 2025 09427 005 001 084 013 din 01.08.2025 (în continuare: Concursul), secretarul provincial emite:</w:t>
      </w:r>
    </w:p>
    <w:p w:rsidR="000A7080" w:rsidRPr="00FF6C8E" w:rsidRDefault="000A7080" w:rsidP="003812D1">
      <w:pPr>
        <w:ind w:firstLine="720"/>
        <w:jc w:val="both"/>
        <w:rPr>
          <w:rFonts w:asciiTheme="minorHAnsi" w:hAnsiTheme="minorHAnsi" w:cstheme="minorHAnsi"/>
          <w:sz w:val="22"/>
          <w:szCs w:val="22"/>
          <w:lang w:val="sr-Cyrl-RS"/>
        </w:rPr>
      </w:pPr>
    </w:p>
    <w:p w:rsidR="009C4C57" w:rsidRPr="00FF6C8E" w:rsidRDefault="009C4C57" w:rsidP="009C4C57">
      <w:pPr>
        <w:jc w:val="center"/>
        <w:rPr>
          <w:rFonts w:asciiTheme="minorHAnsi" w:hAnsiTheme="minorHAnsi" w:cstheme="minorHAnsi"/>
          <w:b/>
          <w:sz w:val="22"/>
          <w:szCs w:val="22"/>
        </w:rPr>
      </w:pPr>
      <w:r>
        <w:rPr>
          <w:rFonts w:asciiTheme="minorHAnsi" w:hAnsiTheme="minorHAnsi"/>
          <w:b/>
          <w:sz w:val="22"/>
          <w:szCs w:val="22"/>
        </w:rPr>
        <w:t>DECIZIA</w:t>
      </w:r>
    </w:p>
    <w:p w:rsidR="009C4C57" w:rsidRPr="00FF6C8E" w:rsidRDefault="009C4C57" w:rsidP="009C4C57">
      <w:pPr>
        <w:jc w:val="center"/>
        <w:rPr>
          <w:rFonts w:asciiTheme="minorHAnsi" w:hAnsiTheme="minorHAnsi" w:cstheme="minorHAnsi"/>
          <w:b/>
          <w:sz w:val="22"/>
          <w:szCs w:val="22"/>
        </w:rPr>
      </w:pPr>
      <w:r>
        <w:rPr>
          <w:rFonts w:asciiTheme="minorHAnsi" w:hAnsiTheme="minorHAnsi"/>
          <w:b/>
          <w:sz w:val="22"/>
          <w:szCs w:val="22"/>
        </w:rPr>
        <w:t>PRIVIND REPARTIZAREA MIJLOACELOR CONFORM CONCURSULUI PENTRU REPARTIZAREA MIJLOACELOR BUGETARE ORGANELOR ŞI ORGANIZAŢIILOR DIN PROVINCIA AUTONOMĂ VOIVODINA ÎN A CĂROR ACTIVITATE SUNT ÎN UZ OFICIAL LIMBILE ŞI GRAFIILE MINORITĂŢILOR NAŢIONALE - COMUNITĂŢI</w:t>
      </w:r>
      <w:r w:rsidR="00F7167A">
        <w:rPr>
          <w:rFonts w:asciiTheme="minorHAnsi" w:hAnsiTheme="minorHAnsi"/>
          <w:b/>
          <w:sz w:val="22"/>
          <w:szCs w:val="22"/>
        </w:rPr>
        <w:t xml:space="preserve">LOR NAŢIONALE PENTRU ANUL 2025 </w:t>
      </w:r>
    </w:p>
    <w:p w:rsidR="00531514" w:rsidRPr="00FF6C8E" w:rsidRDefault="00531514" w:rsidP="00C164DE">
      <w:pPr>
        <w:jc w:val="center"/>
        <w:rPr>
          <w:rFonts w:asciiTheme="minorHAnsi" w:hAnsiTheme="minorHAnsi" w:cstheme="minorHAnsi"/>
          <w:sz w:val="22"/>
          <w:szCs w:val="22"/>
        </w:rPr>
      </w:pPr>
    </w:p>
    <w:p w:rsidR="00C164DE" w:rsidRPr="00FF6C8E" w:rsidRDefault="00C164DE" w:rsidP="00C164DE">
      <w:pPr>
        <w:jc w:val="center"/>
        <w:rPr>
          <w:rFonts w:asciiTheme="minorHAnsi" w:hAnsiTheme="minorHAnsi" w:cstheme="minorHAnsi"/>
          <w:b/>
          <w:sz w:val="22"/>
          <w:szCs w:val="22"/>
        </w:rPr>
      </w:pPr>
      <w:r>
        <w:rPr>
          <w:rFonts w:asciiTheme="minorHAnsi" w:hAnsiTheme="minorHAnsi"/>
          <w:b/>
          <w:sz w:val="22"/>
          <w:szCs w:val="22"/>
        </w:rPr>
        <w:t>I</w:t>
      </w:r>
    </w:p>
    <w:p w:rsidR="00C164DE" w:rsidRPr="00FF6C8E" w:rsidRDefault="00C164DE" w:rsidP="00780DA0">
      <w:pPr>
        <w:jc w:val="both"/>
        <w:rPr>
          <w:rFonts w:asciiTheme="minorHAnsi" w:hAnsiTheme="minorHAnsi" w:cstheme="minorHAnsi"/>
          <w:sz w:val="22"/>
          <w:szCs w:val="22"/>
        </w:rPr>
      </w:pPr>
      <w:r>
        <w:rPr>
          <w:rFonts w:asciiTheme="minorHAnsi" w:hAnsiTheme="minorHAnsi"/>
          <w:b/>
          <w:sz w:val="22"/>
          <w:szCs w:val="22"/>
        </w:rPr>
        <w:tab/>
      </w:r>
      <w:r>
        <w:rPr>
          <w:rFonts w:asciiTheme="minorHAnsi" w:hAnsiTheme="minorHAnsi"/>
          <w:sz w:val="22"/>
          <w:szCs w:val="22"/>
        </w:rPr>
        <w:t>„Concurs pentru repartizarea mijloacelor bugetare organelor şi organizaţiilor din Provincia Autonomă Voivodina în a căror activitate sunt în uz oficial limbile şi grafiile minorităţilor naţionale- comunităţilor naţionale pentru anul 2025 numărul: 003334904 2025 09427 005 001 084 013, publicat la data de 01.08.2025, care a fost publicat pe site-ul Secretariatului la data de 01.08.2025, în cotidianul „Alo” și în Buletinul oficial al P.A.V. numărul 39/2025, mijloacele se repartizează următorilor semnatari ai cererilor:</w:t>
      </w:r>
    </w:p>
    <w:p w:rsidR="0082316C" w:rsidRPr="00FF6C8E" w:rsidRDefault="0082316C" w:rsidP="0082316C">
      <w:pPr>
        <w:jc w:val="center"/>
        <w:rPr>
          <w:b/>
          <w:sz w:val="20"/>
          <w:szCs w:val="22"/>
          <w:lang w:val="sr-Cyrl-RS"/>
        </w:rPr>
      </w:pPr>
    </w:p>
    <w:tbl>
      <w:tblPr>
        <w:tblW w:w="10349" w:type="dxa"/>
        <w:tblInd w:w="-431" w:type="dxa"/>
        <w:tblLook w:val="04A0" w:firstRow="1" w:lastRow="0" w:firstColumn="1" w:lastColumn="0" w:noHBand="0" w:noVBand="1"/>
      </w:tblPr>
      <w:tblGrid>
        <w:gridCol w:w="1418"/>
        <w:gridCol w:w="1275"/>
        <w:gridCol w:w="3030"/>
        <w:gridCol w:w="2126"/>
        <w:gridCol w:w="1559"/>
        <w:gridCol w:w="941"/>
      </w:tblGrid>
      <w:tr w:rsidR="00FF6C8E" w:rsidRPr="00FF6C8E" w:rsidTr="009E6782">
        <w:trPr>
          <w:trHeight w:val="555"/>
        </w:trPr>
        <w:tc>
          <w:tcPr>
            <w:tcW w:w="1419"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Denumirea semnatarului cererii</w:t>
            </w:r>
          </w:p>
        </w:tc>
        <w:tc>
          <w:tcPr>
            <w:tcW w:w="1275" w:type="dxa"/>
            <w:tcBorders>
              <w:top w:val="single" w:sz="4" w:space="0" w:color="000000"/>
              <w:left w:val="nil"/>
              <w:bottom w:val="single" w:sz="4" w:space="0" w:color="000000"/>
              <w:right w:val="single" w:sz="4" w:space="0" w:color="000000"/>
            </w:tcBorders>
            <w:shd w:val="clear" w:color="000000" w:fill="D9D9D9"/>
            <w:noWrap/>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Localitatea</w:t>
            </w:r>
          </w:p>
        </w:tc>
        <w:tc>
          <w:tcPr>
            <w:tcW w:w="3101" w:type="dxa"/>
            <w:tcBorders>
              <w:top w:val="single" w:sz="4" w:space="0" w:color="000000"/>
              <w:left w:val="nil"/>
              <w:bottom w:val="single" w:sz="4" w:space="0" w:color="000000"/>
              <w:right w:val="single" w:sz="4" w:space="0" w:color="000000"/>
            </w:tcBorders>
            <w:shd w:val="clear" w:color="000000" w:fill="D9D9D9"/>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Destinaţia</w:t>
            </w:r>
          </w:p>
        </w:tc>
        <w:tc>
          <w:tcPr>
            <w:tcW w:w="2126" w:type="dxa"/>
            <w:tcBorders>
              <w:top w:val="single" w:sz="4" w:space="0" w:color="000000"/>
              <w:left w:val="nil"/>
              <w:bottom w:val="single" w:sz="4" w:space="0" w:color="000000"/>
              <w:right w:val="single" w:sz="4" w:space="0" w:color="000000"/>
            </w:tcBorders>
            <w:shd w:val="clear" w:color="000000" w:fill="D9D9D9"/>
            <w:noWrap/>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Număr de dosar</w:t>
            </w:r>
          </w:p>
        </w:tc>
        <w:tc>
          <w:tcPr>
            <w:tcW w:w="1559" w:type="dxa"/>
            <w:tcBorders>
              <w:top w:val="single" w:sz="4" w:space="0" w:color="000000"/>
              <w:left w:val="nil"/>
              <w:bottom w:val="single" w:sz="4" w:space="0" w:color="000000"/>
              <w:right w:val="single" w:sz="4" w:space="0" w:color="000000"/>
            </w:tcBorders>
            <w:shd w:val="clear" w:color="000000" w:fill="D9D9D9"/>
            <w:noWrap/>
            <w:vAlign w:val="center"/>
            <w:hideMark/>
          </w:tcPr>
          <w:p w:rsidR="009E6782" w:rsidRPr="00FF6C8E" w:rsidRDefault="009E6782" w:rsidP="00B243B3">
            <w:pPr>
              <w:jc w:val="right"/>
              <w:rPr>
                <w:rFonts w:asciiTheme="minorHAnsi" w:hAnsiTheme="minorHAnsi" w:cstheme="minorHAnsi"/>
                <w:b/>
                <w:bCs/>
                <w:sz w:val="20"/>
                <w:szCs w:val="20"/>
              </w:rPr>
            </w:pPr>
            <w:r>
              <w:rPr>
                <w:rFonts w:asciiTheme="minorHAnsi" w:hAnsiTheme="minorHAnsi"/>
                <w:b/>
                <w:bCs/>
                <w:sz w:val="20"/>
                <w:szCs w:val="20"/>
              </w:rPr>
              <w:t>Cuantumul propus pentru repartizare</w:t>
            </w:r>
          </w:p>
        </w:tc>
        <w:tc>
          <w:tcPr>
            <w:tcW w:w="869" w:type="dxa"/>
            <w:tcBorders>
              <w:top w:val="single" w:sz="4" w:space="0" w:color="000000"/>
              <w:left w:val="nil"/>
              <w:bottom w:val="single" w:sz="4" w:space="0" w:color="000000"/>
              <w:right w:val="single" w:sz="4" w:space="0" w:color="000000"/>
            </w:tcBorders>
            <w:shd w:val="clear" w:color="000000" w:fill="D9D9D9"/>
            <w:noWrap/>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Punctele</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Școala de Tehnică</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Ada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003614662 2025 09427 005 001 000 001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110.000,00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33</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lastRenderedPageBreak/>
              <w:t>Comuna Ada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Ada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003615398 2025 09427 005 001 000 001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500.000,00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33</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Comuna Bačka Topola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Bačka Topola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003591700 2025 09427 005 001 000 001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1.100.640,00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34</w:t>
            </w:r>
          </w:p>
        </w:tc>
      </w:tr>
      <w:tr w:rsidR="00FF6C8E" w:rsidRPr="00FF6C8E" w:rsidTr="009E6782">
        <w:trPr>
          <w:trHeight w:val="102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Comunitatea locală „Stara Moravica”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Stara Moravica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003603486 2025 09427 005 001 000 001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220.000,00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34</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Comuna Bački Petrovac</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Bački Petrovac</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003595746 2025 09427 005 001 000 001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150.000,00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34</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Şcoala Elementară „Petefi Šandor”</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Bečej</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003561499 2025 09427 005 001 000 001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126.800,00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30</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Orașul Vârșeț</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Vârșeț</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oraş</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003619218 2025 09427 005 001 000 001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450.004,00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31</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Căminul Sanitar Žitište</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Žitište</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003489441 2025 09427 005 001 000 001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250.000,00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28</w:t>
            </w:r>
          </w:p>
        </w:tc>
      </w:tr>
      <w:tr w:rsidR="00FF6C8E" w:rsidRPr="00FF6C8E" w:rsidTr="009E6782">
        <w:trPr>
          <w:trHeight w:val="51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Orașul Zrenianin</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Zrenianin</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dezvoltarea sistemului de administraţie electronică în condiţii de plurilingvism</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003601279 2025 09427 005 001 000 001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990.000,00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33</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Comuna Kanjiža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Kanjiža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003589792 2025 09427 005 001 000 001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2.331.380,00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34</w:t>
            </w:r>
          </w:p>
        </w:tc>
      </w:tr>
      <w:tr w:rsidR="00FF6C8E" w:rsidRPr="00FF6C8E" w:rsidTr="009E6782">
        <w:trPr>
          <w:trHeight w:val="102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Biblioteca ‚‚Joožef Atila” Kanjiža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Kanjiža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003576828 2025 09427 005 001 000 001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58.000,00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28</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Școala Elementară „Aranj Janoš”</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Trešnjevac</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003614789 2025 09427 005 001 000 001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100.000,00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28</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lastRenderedPageBreak/>
              <w:t>Comunitatea locală Totovo selo</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Totovo Sepo</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003618140 2025 09427 005 001 000 001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160.000,00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27</w:t>
            </w:r>
          </w:p>
        </w:tc>
      </w:tr>
      <w:tr w:rsidR="00FF6C8E" w:rsidRPr="00FF6C8E" w:rsidTr="009E6782">
        <w:trPr>
          <w:trHeight w:val="102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Școala Elementară „Moša Pijade”</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Debeljača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003560578 2025 09427 005 001 000 001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50.000,00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33</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Căminul Cultural ‚‚Jožef Atila”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Debeljača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003618872 2025 09427 005 001 000 001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100.800,00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29</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Comunitatea locală Feketić</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Feketić</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003520234 2025 09427 005 001 000 001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210.000,00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32</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Comunitatea locală Mali Iđoš</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Mali Iđoš</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003617704 2025 09427 005 001 000 001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180.000,00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29</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Comuna Novi Kneževac</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Novi Kneževac</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003602685 2025 09427 005 001 000 001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500.000,00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32</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Comuna Senta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Senta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003550895 2025 09427 005 001 000 001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346.440,00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26</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Comunitatea locală Jarkovac</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Jarkovac</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003592809 2025 09427 005 001 000 001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100.000,00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26</w:t>
            </w:r>
          </w:p>
        </w:tc>
      </w:tr>
      <w:tr w:rsidR="00FF6C8E" w:rsidRPr="00FF6C8E" w:rsidTr="009E6782">
        <w:trPr>
          <w:trHeight w:val="102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Organizaţia de turism a oraşului Sombor</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Sombor</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003595803 2025 09427 005 001 000 001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379.800,00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34</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Centrul pentru munca socială Sombor</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Sombor</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oraş</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003601349 2025 09427 005 001 000 001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108.000,00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34</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lastRenderedPageBreak/>
              <w:t>Comuna Srbobran</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Srbobran</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003500633 2025 09427 005 001 000 001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391.983,00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32</w:t>
            </w:r>
          </w:p>
        </w:tc>
      </w:tr>
      <w:tr w:rsidR="00FF6C8E" w:rsidRPr="00FF6C8E" w:rsidTr="009E6782">
        <w:trPr>
          <w:trHeight w:val="102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Școala Elementară „Hunjadi Janoš”</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Čantavir</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003576306 2025 09427 005 001 000 001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170.000,00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27</w:t>
            </w:r>
          </w:p>
        </w:tc>
      </w:tr>
      <w:tr w:rsidR="00FF6C8E" w:rsidRPr="00FF6C8E" w:rsidTr="009E6782">
        <w:trPr>
          <w:trHeight w:val="102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Școala Elementară „Hunjadi Janoš”</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Čantavir</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003576609 2025 09427 005 001 000 001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158.400,00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22</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Întreprinderea Publică Edilitară „Stadion” Subotica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Subotica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oraş</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003585185 2025 09427 005 001 000 001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79.272,00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26</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Muzeul de Artă Naivă „Ilijanum”</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003601715 2025 09427 005 001 000 001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45.000,00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29</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Biblioteca Populară „Simeon Piščević”</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003601975 2025 09427 005 001 000 001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48.000,00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25</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Întreprinderea Publică Edilitară „Standard” Šid</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003618575 2025 09427 005 001 000 001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106.481,00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21</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Administrația Comunei Šid</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003615547 2025 09427 005 001 000 001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100.000,00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22</w:t>
            </w:r>
          </w:p>
        </w:tc>
      </w:tr>
      <w:tr w:rsidR="00FF6C8E" w:rsidRPr="00FF6C8E" w:rsidTr="009E6782">
        <w:trPr>
          <w:trHeight w:val="566"/>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Galeria de Artă Plastică „Sava Šumanović”</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003618645 2025 09427 005 001 000 001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120.000,00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25</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Instituția Preșcolară „Jelica Stanivuković Šilja”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003629124 2025 09427 005 001 000 001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45.000,00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30</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lastRenderedPageBreak/>
              <w:t>Organizația de Turism a comunei Šid</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003618840 2025 09427 005 001 000 001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42.000,00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23</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Centrul Cultural Educativ din</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003617298 2025 09427 005 001 000 001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52.000,00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34</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Întreprinderea Publică Edilitară „Vodovod” Šid</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003618517 2025 09427 005 001 000 001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120.000,00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26</w:t>
            </w:r>
          </w:p>
        </w:tc>
      </w:tr>
    </w:tbl>
    <w:p w:rsidR="00531514" w:rsidRPr="00FF6C8E" w:rsidRDefault="00531514" w:rsidP="0082316C">
      <w:pPr>
        <w:jc w:val="center"/>
        <w:rPr>
          <w:b/>
          <w:sz w:val="20"/>
          <w:szCs w:val="22"/>
          <w:lang w:val="sr-Cyrl-RS"/>
        </w:rPr>
      </w:pPr>
    </w:p>
    <w:p w:rsidR="00862CAF" w:rsidRPr="00FF6C8E" w:rsidRDefault="00862CAF" w:rsidP="00494558">
      <w:pPr>
        <w:jc w:val="center"/>
        <w:rPr>
          <w:rFonts w:asciiTheme="minorHAnsi" w:hAnsiTheme="minorHAnsi" w:cstheme="minorHAnsi"/>
          <w:b/>
          <w:sz w:val="22"/>
          <w:szCs w:val="22"/>
        </w:rPr>
      </w:pPr>
    </w:p>
    <w:p w:rsidR="005E2020" w:rsidRPr="00FF6C8E" w:rsidRDefault="00C164DE" w:rsidP="00494558">
      <w:pPr>
        <w:jc w:val="center"/>
        <w:rPr>
          <w:rFonts w:asciiTheme="minorHAnsi" w:hAnsiTheme="minorHAnsi" w:cstheme="minorHAnsi"/>
          <w:b/>
          <w:sz w:val="22"/>
          <w:szCs w:val="22"/>
        </w:rPr>
      </w:pPr>
      <w:r>
        <w:rPr>
          <w:rFonts w:asciiTheme="minorHAnsi" w:hAnsiTheme="minorHAnsi"/>
          <w:b/>
          <w:sz w:val="22"/>
          <w:szCs w:val="22"/>
        </w:rPr>
        <w:t>II</w:t>
      </w:r>
    </w:p>
    <w:p w:rsidR="00862CAF" w:rsidRPr="00FF6C8E" w:rsidRDefault="00862CAF" w:rsidP="00494558">
      <w:pPr>
        <w:jc w:val="center"/>
        <w:rPr>
          <w:rFonts w:asciiTheme="minorHAnsi" w:hAnsiTheme="minorHAnsi" w:cstheme="minorHAnsi"/>
          <w:b/>
          <w:sz w:val="22"/>
          <w:szCs w:val="22"/>
        </w:rPr>
      </w:pPr>
    </w:p>
    <w:p w:rsidR="008A359E" w:rsidRPr="00FF6C8E" w:rsidRDefault="00A7001B" w:rsidP="00A7001B">
      <w:pPr>
        <w:ind w:firstLine="720"/>
        <w:jc w:val="both"/>
        <w:rPr>
          <w:rFonts w:asciiTheme="minorHAnsi" w:hAnsiTheme="minorHAnsi" w:cstheme="minorHAnsi"/>
          <w:sz w:val="22"/>
          <w:szCs w:val="22"/>
        </w:rPr>
      </w:pPr>
      <w:r>
        <w:rPr>
          <w:rFonts w:asciiTheme="minorHAnsi" w:hAnsiTheme="minorHAnsi"/>
          <w:sz w:val="22"/>
          <w:szCs w:val="22"/>
        </w:rPr>
        <w:t>Semnatarii cererilor cărora nu le-au fost acordate mijloace:</w:t>
      </w:r>
    </w:p>
    <w:p w:rsidR="00A7001B" w:rsidRPr="00FF6C8E" w:rsidRDefault="00A7001B" w:rsidP="00A7001B">
      <w:pPr>
        <w:ind w:firstLine="720"/>
        <w:jc w:val="both"/>
        <w:rPr>
          <w:rFonts w:asciiTheme="minorHAnsi" w:hAnsiTheme="minorHAnsi" w:cstheme="minorHAnsi"/>
          <w:sz w:val="22"/>
          <w:szCs w:val="22"/>
        </w:rPr>
      </w:pPr>
    </w:p>
    <w:tbl>
      <w:tblPr>
        <w:tblW w:w="10349" w:type="dxa"/>
        <w:tblInd w:w="-431" w:type="dxa"/>
        <w:tblLook w:val="04A0" w:firstRow="1" w:lastRow="0" w:firstColumn="1" w:lastColumn="0" w:noHBand="0" w:noVBand="1"/>
      </w:tblPr>
      <w:tblGrid>
        <w:gridCol w:w="1418"/>
        <w:gridCol w:w="1275"/>
        <w:gridCol w:w="3030"/>
        <w:gridCol w:w="2126"/>
        <w:gridCol w:w="1559"/>
        <w:gridCol w:w="941"/>
      </w:tblGrid>
      <w:tr w:rsidR="00FF6C8E" w:rsidRPr="00FF6C8E" w:rsidTr="009E6782">
        <w:trPr>
          <w:trHeight w:val="555"/>
        </w:trPr>
        <w:tc>
          <w:tcPr>
            <w:tcW w:w="1419"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Denumirea semnatarului cererii</w:t>
            </w:r>
          </w:p>
        </w:tc>
        <w:tc>
          <w:tcPr>
            <w:tcW w:w="1275" w:type="dxa"/>
            <w:tcBorders>
              <w:top w:val="single" w:sz="4" w:space="0" w:color="000000"/>
              <w:left w:val="nil"/>
              <w:bottom w:val="single" w:sz="4" w:space="0" w:color="000000"/>
              <w:right w:val="single" w:sz="4" w:space="0" w:color="000000"/>
            </w:tcBorders>
            <w:shd w:val="clear" w:color="000000" w:fill="D9D9D9"/>
            <w:noWrap/>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Localitatea</w:t>
            </w:r>
          </w:p>
        </w:tc>
        <w:tc>
          <w:tcPr>
            <w:tcW w:w="3101" w:type="dxa"/>
            <w:tcBorders>
              <w:top w:val="single" w:sz="4" w:space="0" w:color="000000"/>
              <w:left w:val="nil"/>
              <w:bottom w:val="single" w:sz="4" w:space="0" w:color="000000"/>
              <w:right w:val="single" w:sz="4" w:space="0" w:color="000000"/>
            </w:tcBorders>
            <w:shd w:val="clear" w:color="000000" w:fill="D9D9D9"/>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Destinaţia</w:t>
            </w:r>
          </w:p>
        </w:tc>
        <w:tc>
          <w:tcPr>
            <w:tcW w:w="2126" w:type="dxa"/>
            <w:tcBorders>
              <w:top w:val="single" w:sz="4" w:space="0" w:color="000000"/>
              <w:left w:val="nil"/>
              <w:bottom w:val="single" w:sz="4" w:space="0" w:color="000000"/>
              <w:right w:val="single" w:sz="4" w:space="0" w:color="000000"/>
            </w:tcBorders>
            <w:shd w:val="clear" w:color="000000" w:fill="D9D9D9"/>
            <w:noWrap/>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Număr de dosar</w:t>
            </w:r>
          </w:p>
        </w:tc>
        <w:tc>
          <w:tcPr>
            <w:tcW w:w="1559" w:type="dxa"/>
            <w:tcBorders>
              <w:top w:val="single" w:sz="4" w:space="0" w:color="000000"/>
              <w:left w:val="nil"/>
              <w:bottom w:val="single" w:sz="4" w:space="0" w:color="000000"/>
              <w:right w:val="single" w:sz="4" w:space="0" w:color="000000"/>
            </w:tcBorders>
            <w:shd w:val="clear" w:color="000000" w:fill="D9D9D9"/>
            <w:noWrap/>
            <w:vAlign w:val="center"/>
            <w:hideMark/>
          </w:tcPr>
          <w:p w:rsidR="009E6782" w:rsidRPr="00FF6C8E" w:rsidRDefault="009E6782" w:rsidP="00B243B3">
            <w:pPr>
              <w:jc w:val="right"/>
              <w:rPr>
                <w:rFonts w:asciiTheme="minorHAnsi" w:hAnsiTheme="minorHAnsi" w:cstheme="minorHAnsi"/>
                <w:b/>
                <w:bCs/>
                <w:sz w:val="20"/>
                <w:szCs w:val="20"/>
              </w:rPr>
            </w:pPr>
            <w:r>
              <w:rPr>
                <w:rFonts w:asciiTheme="minorHAnsi" w:hAnsiTheme="minorHAnsi"/>
                <w:b/>
                <w:bCs/>
                <w:sz w:val="20"/>
                <w:szCs w:val="20"/>
              </w:rPr>
              <w:t>Cuantumul propus pentru repartizare</w:t>
            </w:r>
          </w:p>
        </w:tc>
        <w:tc>
          <w:tcPr>
            <w:tcW w:w="869" w:type="dxa"/>
            <w:tcBorders>
              <w:top w:val="single" w:sz="4" w:space="0" w:color="000000"/>
              <w:left w:val="nil"/>
              <w:bottom w:val="single" w:sz="4" w:space="0" w:color="000000"/>
              <w:right w:val="single" w:sz="4" w:space="0" w:color="000000"/>
            </w:tcBorders>
            <w:shd w:val="clear" w:color="000000" w:fill="D9D9D9"/>
            <w:noWrap/>
            <w:vAlign w:val="center"/>
            <w:hideMark/>
          </w:tcPr>
          <w:p w:rsidR="009E6782" w:rsidRPr="00FF6C8E" w:rsidRDefault="009E6782" w:rsidP="00B243B3">
            <w:pPr>
              <w:jc w:val="center"/>
              <w:rPr>
                <w:rFonts w:asciiTheme="minorHAnsi" w:hAnsiTheme="minorHAnsi" w:cstheme="minorHAnsi"/>
                <w:b/>
                <w:bCs/>
                <w:sz w:val="20"/>
                <w:szCs w:val="20"/>
              </w:rPr>
            </w:pPr>
            <w:r>
              <w:rPr>
                <w:rFonts w:asciiTheme="minorHAnsi" w:hAnsiTheme="minorHAnsi"/>
                <w:b/>
                <w:bCs/>
                <w:sz w:val="20"/>
                <w:szCs w:val="20"/>
              </w:rPr>
              <w:t>Punctele</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Comunitatea locală „Nova Gajdobra”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Nova Gajdobra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003592268 2025 09427 005 001 000 001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19</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Liceul „Jan Kolar” cu căminul de elevi</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Bački Petrovac</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003463811 2025 09427 005 001 000 001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19</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Comuna Biserica Albă</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Biserica Albă</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003432500 2025 09427 005 001 000 001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18</w:t>
            </w:r>
          </w:p>
        </w:tc>
      </w:tr>
      <w:tr w:rsidR="00FF6C8E" w:rsidRPr="00FF6C8E" w:rsidTr="009E6782">
        <w:trPr>
          <w:trHeight w:val="51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Școala Elementară „Aranj Janoš”</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Trešnjevac</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dezvoltarea sistemului de administraţie electronică în condiţii de plurilingvism</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003615269 2025 09427 005 001 000 001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15</w:t>
            </w:r>
          </w:p>
        </w:tc>
      </w:tr>
      <w:tr w:rsidR="00FF6C8E" w:rsidRPr="00FF6C8E" w:rsidTr="009E6782">
        <w:trPr>
          <w:trHeight w:val="102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Școala Elementară „Aranj Janoš”</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Trešnjevac</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003615308 2025 09427 005 001 000 001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15</w:t>
            </w:r>
          </w:p>
        </w:tc>
      </w:tr>
      <w:tr w:rsidR="00FF6C8E" w:rsidRPr="00FF6C8E" w:rsidTr="009E6782">
        <w:trPr>
          <w:trHeight w:val="1020"/>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Comuna Kanjiža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Kanjiža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003614493 2025 09427 005 001 000 001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18</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lastRenderedPageBreak/>
              <w:t>Comunitatea locală Debeljača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Debeljača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003595891 2025 09427 005 001 000 001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17</w:t>
            </w:r>
          </w:p>
        </w:tc>
      </w:tr>
      <w:tr w:rsidR="00FF6C8E" w:rsidRPr="00FF6C8E" w:rsidTr="009E6782">
        <w:trPr>
          <w:trHeight w:val="2348"/>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Administrația orășenească pentru activități edilitare</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Novi Sad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oraş</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003591182 2025 09427 005 001 000 001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121BFF"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121BFF" w:rsidP="00B243B3">
            <w:pPr>
              <w:jc w:val="center"/>
              <w:rPr>
                <w:rFonts w:asciiTheme="minorHAnsi" w:hAnsiTheme="minorHAnsi" w:cstheme="minorHAnsi"/>
                <w:sz w:val="20"/>
                <w:szCs w:val="20"/>
              </w:rPr>
            </w:pPr>
            <w:r>
              <w:rPr>
                <w:rFonts w:asciiTheme="minorHAnsi" w:hAnsiTheme="minorHAnsi"/>
                <w:sz w:val="20"/>
                <w:szCs w:val="20"/>
              </w:rPr>
              <w:t>15</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Întreprinderea Publică Edilitară „Stadion” Subotica</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Subotica</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003592506 2025 09427 005 001 000 001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16</w:t>
            </w:r>
          </w:p>
        </w:tc>
      </w:tr>
      <w:tr w:rsidR="00FF6C8E" w:rsidRPr="00FF6C8E" w:rsidTr="009E6782">
        <w:trPr>
          <w:trHeight w:val="1275"/>
        </w:trPr>
        <w:tc>
          <w:tcPr>
            <w:tcW w:w="1419" w:type="dxa"/>
            <w:tcBorders>
              <w:top w:val="nil"/>
              <w:left w:val="single" w:sz="4" w:space="0" w:color="000000"/>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Instituția pentru Educație Fizică și Recreare Sportivă „Partizan” Šid</w:t>
            </w:r>
          </w:p>
        </w:tc>
        <w:tc>
          <w:tcPr>
            <w:tcW w:w="1275"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Šid</w:t>
            </w:r>
          </w:p>
        </w:tc>
        <w:tc>
          <w:tcPr>
            <w:tcW w:w="3101"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2126"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rPr>
                <w:rFonts w:asciiTheme="minorHAnsi" w:hAnsiTheme="minorHAnsi" w:cstheme="minorHAnsi"/>
                <w:sz w:val="20"/>
                <w:szCs w:val="20"/>
              </w:rPr>
            </w:pPr>
            <w:r>
              <w:rPr>
                <w:rFonts w:asciiTheme="minorHAnsi" w:hAnsiTheme="minorHAnsi"/>
                <w:sz w:val="20"/>
                <w:szCs w:val="20"/>
              </w:rPr>
              <w:t>003618766 2025 09427 005 001 000 001</w:t>
            </w:r>
          </w:p>
        </w:tc>
        <w:tc>
          <w:tcPr>
            <w:tcW w:w="155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right"/>
              <w:rPr>
                <w:rFonts w:asciiTheme="minorHAnsi" w:hAnsiTheme="minorHAnsi" w:cstheme="minorHAnsi"/>
                <w:sz w:val="20"/>
                <w:szCs w:val="20"/>
              </w:rPr>
            </w:pPr>
            <w:r>
              <w:rPr>
                <w:rFonts w:asciiTheme="minorHAnsi" w:hAnsiTheme="minorHAnsi"/>
                <w:sz w:val="20"/>
                <w:szCs w:val="20"/>
              </w:rPr>
              <w:t>0,00</w:t>
            </w:r>
          </w:p>
        </w:tc>
        <w:tc>
          <w:tcPr>
            <w:tcW w:w="869" w:type="dxa"/>
            <w:tcBorders>
              <w:top w:val="nil"/>
              <w:left w:val="nil"/>
              <w:bottom w:val="single" w:sz="4" w:space="0" w:color="000000"/>
              <w:right w:val="single" w:sz="4" w:space="0" w:color="000000"/>
            </w:tcBorders>
            <w:shd w:val="clear" w:color="auto" w:fill="auto"/>
            <w:vAlign w:val="center"/>
            <w:hideMark/>
          </w:tcPr>
          <w:p w:rsidR="009E6782" w:rsidRPr="00FF6C8E" w:rsidRDefault="009E6782" w:rsidP="00B243B3">
            <w:pPr>
              <w:jc w:val="center"/>
              <w:rPr>
                <w:rFonts w:asciiTheme="minorHAnsi" w:hAnsiTheme="minorHAnsi" w:cstheme="minorHAnsi"/>
                <w:sz w:val="20"/>
                <w:szCs w:val="20"/>
              </w:rPr>
            </w:pPr>
            <w:r>
              <w:rPr>
                <w:rFonts w:asciiTheme="minorHAnsi" w:hAnsiTheme="minorHAnsi"/>
                <w:sz w:val="20"/>
                <w:szCs w:val="20"/>
              </w:rPr>
              <w:t>14</w:t>
            </w:r>
          </w:p>
        </w:tc>
      </w:tr>
    </w:tbl>
    <w:p w:rsidR="00A7001B" w:rsidRPr="00FF6C8E" w:rsidRDefault="00A7001B" w:rsidP="00A7001B">
      <w:pPr>
        <w:ind w:firstLine="720"/>
        <w:jc w:val="both"/>
        <w:rPr>
          <w:rFonts w:asciiTheme="minorHAnsi" w:hAnsiTheme="minorHAnsi" w:cstheme="minorHAnsi"/>
          <w:sz w:val="22"/>
          <w:szCs w:val="22"/>
        </w:rPr>
      </w:pPr>
    </w:p>
    <w:p w:rsidR="008A359E" w:rsidRPr="00FF6C8E" w:rsidRDefault="008A359E" w:rsidP="00494558">
      <w:pPr>
        <w:jc w:val="center"/>
        <w:rPr>
          <w:rFonts w:asciiTheme="minorHAnsi" w:hAnsiTheme="minorHAnsi" w:cstheme="minorHAnsi"/>
          <w:b/>
          <w:sz w:val="22"/>
          <w:szCs w:val="22"/>
        </w:rPr>
      </w:pPr>
    </w:p>
    <w:p w:rsidR="00494558" w:rsidRPr="00FF6C8E" w:rsidRDefault="00494558" w:rsidP="00494558">
      <w:pPr>
        <w:jc w:val="center"/>
        <w:rPr>
          <w:rFonts w:asciiTheme="minorHAnsi" w:hAnsiTheme="minorHAnsi" w:cstheme="minorHAnsi"/>
          <w:b/>
          <w:sz w:val="22"/>
          <w:szCs w:val="22"/>
        </w:rPr>
      </w:pPr>
      <w:r>
        <w:rPr>
          <w:rFonts w:asciiTheme="minorHAnsi" w:hAnsiTheme="minorHAnsi"/>
          <w:b/>
          <w:sz w:val="22"/>
          <w:szCs w:val="22"/>
        </w:rPr>
        <w:t>Expunerea de motive:</w:t>
      </w:r>
    </w:p>
    <w:p w:rsidR="00494558" w:rsidRPr="00FF6C8E" w:rsidRDefault="00494558" w:rsidP="00494558">
      <w:pPr>
        <w:jc w:val="center"/>
        <w:rPr>
          <w:rFonts w:asciiTheme="minorHAnsi" w:hAnsiTheme="minorHAnsi" w:cstheme="minorHAnsi"/>
          <w:sz w:val="22"/>
          <w:szCs w:val="22"/>
          <w:lang w:val="sr-Latn-RS"/>
        </w:rPr>
      </w:pPr>
    </w:p>
    <w:p w:rsidR="00494558" w:rsidRPr="00FF6C8E" w:rsidRDefault="00494558" w:rsidP="00494558">
      <w:pPr>
        <w:ind w:firstLine="720"/>
        <w:jc w:val="both"/>
        <w:rPr>
          <w:rFonts w:asciiTheme="minorHAnsi" w:hAnsiTheme="minorHAnsi" w:cstheme="minorHAnsi"/>
          <w:sz w:val="22"/>
          <w:szCs w:val="22"/>
        </w:rPr>
      </w:pPr>
      <w:r>
        <w:rPr>
          <w:rFonts w:asciiTheme="minorHAnsi" w:hAnsiTheme="minorHAnsi"/>
          <w:sz w:val="22"/>
          <w:szCs w:val="22"/>
        </w:rPr>
        <w:t>Prin Hotărârea Adunării Provinciei privind repartizarea mijloacelor bugetare organelor şi organizaţiilor în a căror activitate sunt în uz oficial limbile şi grafiile minorităţilor naţionale – comunităţilor naţionale şi prin Regulamentul privind repartizarea mijloacelor bugetare ale Secretariatului  Provincial pentru Educaţie, Reglementări, Administraţie şi Minorităţile Naţionale - Comunităţile Naţionale organelor şi organizaţiilor în a căror activitate sunt în uz oficial limbile şi grafiile minorităţilor naţionale – comunităţilor naţionale, se stipulează modul, condițiile și criteriile pentru repartizarea mijloacelor organelor și organizațiilor din teritoriul Provinciei Autonome Voivodina, în a căror activitate sunt în uz oficial limbile şi grafiile minorităţilor naţionale – comunităţilor naţionale. Mijloacele menționate se asigură din bugetul Provinciei Autonome Voivodina și se țin în partea specială bugetară a Secretariatului.</w:t>
      </w:r>
    </w:p>
    <w:p w:rsidR="00494558" w:rsidRPr="00FF4D56" w:rsidRDefault="00494558" w:rsidP="00494558">
      <w:pPr>
        <w:ind w:firstLine="720"/>
        <w:jc w:val="both"/>
        <w:rPr>
          <w:rFonts w:asciiTheme="minorHAnsi" w:hAnsiTheme="minorHAnsi" w:cstheme="minorHAnsi"/>
          <w:sz w:val="22"/>
          <w:szCs w:val="22"/>
        </w:rPr>
      </w:pPr>
      <w:r>
        <w:rPr>
          <w:rFonts w:asciiTheme="minorHAnsi" w:hAnsiTheme="minorHAnsi"/>
          <w:sz w:val="22"/>
          <w:szCs w:val="22"/>
        </w:rPr>
        <w:t xml:space="preserve">În baza articolului 6 din Hotărârea Adunării Provinciei privind repartizarea mijloacelor bugetare organelor şi organizaţiilor în a căror activitate sunt în uz oficial limbile şi grafiile minorităţilor naţionale – comunităţilor naţionale Secretariatul pe data de 01.08.2025 a publicat Concursul  pentru repartizarea mijloacelor bugetare organelor şi organizaţiilor din Provincia Autonomă Voivodina în a căror activitate sunt în uz oficial limbile şi grafiile minorităţilor naţionale - comunităţilor naţionale pentru anul 2025, numărul 003334904 2025 09427 005 001 084 013. Prin prezenta decizie, în baza concursului realizat în confomritate cu articolul 23 alineatul 4 din Hotărârea Adunării Provinciei privind bugetul Provinciei Autonome Voivodina pentru anul 2025 și mijloacelor asigurate pentru destinațiile menționate, stabilite la articolul 11 din aceeași hotărâre, se efectuează repartizarea mijloacelor conform cererilor sosite la concurs, în cuantum de 10.000.000,00 dinari. </w:t>
      </w:r>
    </w:p>
    <w:p w:rsidR="00494558" w:rsidRPr="00AF7C6B" w:rsidRDefault="00494558" w:rsidP="00494558">
      <w:pPr>
        <w:ind w:firstLine="720"/>
        <w:jc w:val="both"/>
        <w:rPr>
          <w:rFonts w:asciiTheme="minorHAnsi" w:hAnsiTheme="minorHAnsi" w:cstheme="minorHAnsi"/>
          <w:sz w:val="22"/>
          <w:szCs w:val="22"/>
        </w:rPr>
      </w:pPr>
      <w:r w:rsidRPr="00AF7C6B">
        <w:rPr>
          <w:rFonts w:asciiTheme="minorHAnsi" w:hAnsiTheme="minorHAnsi"/>
          <w:sz w:val="22"/>
          <w:szCs w:val="22"/>
        </w:rPr>
        <w:t xml:space="preserve">Mijloacele în baza concursului și Propunerii comisiei de concurs pentru repartizarea mijloacelor înființată prin decizia secrtearului provincial numărul 003468257 2025 09427 005 001 012 002 din 12.08.2025, se acordă pentru finanțarea, respectiv participarea la finanțarea proiectelor și activităților </w:t>
      </w:r>
      <w:r w:rsidRPr="00AF7C6B">
        <w:rPr>
          <w:rFonts w:asciiTheme="minorHAnsi" w:hAnsiTheme="minorHAnsi"/>
          <w:sz w:val="22"/>
          <w:szCs w:val="22"/>
        </w:rPr>
        <w:lastRenderedPageBreak/>
        <w:t xml:space="preserve">organelor și organizațiilor din teritoriul Provinciei Autonome Voivodina în a căror activitate sunt în uz oficial limbile şi grafiile minorităţilor naţionale – comunităţilor naţionale, pentru îmbunătățirea exercitării dreptului la uz oficial al limbilor și grafiilor din teritoriul Provinciei Autonome Voivodina. </w:t>
      </w:r>
    </w:p>
    <w:p w:rsidR="00494558" w:rsidRPr="00E94149" w:rsidRDefault="00494558" w:rsidP="00494558">
      <w:pPr>
        <w:ind w:firstLine="720"/>
        <w:jc w:val="both"/>
        <w:rPr>
          <w:rFonts w:asciiTheme="minorHAnsi" w:hAnsiTheme="minorHAnsi" w:cstheme="minorHAnsi"/>
          <w:sz w:val="22"/>
          <w:szCs w:val="22"/>
        </w:rPr>
      </w:pPr>
      <w:r>
        <w:rPr>
          <w:rFonts w:asciiTheme="minorHAnsi" w:hAnsiTheme="minorHAnsi"/>
          <w:sz w:val="22"/>
          <w:szCs w:val="22"/>
        </w:rPr>
        <w:t>Secretariatul și beneficiarii de mijloace își vor asuma obligațiile reciproce în baza contractului încheiat ulterior.</w:t>
      </w:r>
    </w:p>
    <w:p w:rsidR="00531514" w:rsidRDefault="00494558" w:rsidP="00552686">
      <w:pPr>
        <w:ind w:firstLine="720"/>
        <w:jc w:val="both"/>
        <w:rPr>
          <w:rFonts w:asciiTheme="minorHAnsi" w:hAnsiTheme="minorHAnsi" w:cstheme="minorHAnsi"/>
          <w:sz w:val="22"/>
          <w:szCs w:val="22"/>
        </w:rPr>
      </w:pPr>
      <w:r>
        <w:rPr>
          <w:rFonts w:asciiTheme="minorHAnsi" w:hAnsiTheme="minorHAnsi"/>
          <w:sz w:val="22"/>
          <w:szCs w:val="22"/>
        </w:rPr>
        <w:t>În conformitate cu cele menționate, raportat la articolul 9 din Hotărârea Adunării Provinciei privind repartizarea mijloacelor bugetare organelor şi organizaţiilor în a căror activitate sunt în uz oficial limbile şi grafiile minorităţilor naţionale – comunităţilor naţionale secretarul provincial a emis decizia precum în dispozitiv.</w:t>
      </w:r>
    </w:p>
    <w:p w:rsidR="00531514" w:rsidRDefault="00494558" w:rsidP="00552686">
      <w:pPr>
        <w:ind w:firstLine="720"/>
        <w:rPr>
          <w:rFonts w:asciiTheme="minorHAnsi" w:hAnsiTheme="minorHAnsi" w:cstheme="minorHAnsi"/>
          <w:sz w:val="22"/>
          <w:szCs w:val="22"/>
        </w:rPr>
      </w:pPr>
      <w:r>
        <w:rPr>
          <w:rFonts w:asciiTheme="minorHAnsi" w:hAnsiTheme="minorHAnsi"/>
          <w:sz w:val="22"/>
          <w:szCs w:val="22"/>
        </w:rPr>
        <w:t>Prezenta decizie este definitivă şi împotriva ei nu se poate depune plângere.</w:t>
      </w:r>
    </w:p>
    <w:p w:rsidR="00552686" w:rsidRDefault="00552686" w:rsidP="00552686">
      <w:pPr>
        <w:ind w:firstLine="720"/>
        <w:rPr>
          <w:rFonts w:asciiTheme="minorHAnsi" w:hAnsiTheme="minorHAnsi" w:cstheme="minorHAnsi"/>
          <w:sz w:val="22"/>
          <w:szCs w:val="22"/>
        </w:rPr>
      </w:pPr>
    </w:p>
    <w:p w:rsidR="00531514" w:rsidRPr="00FF4D56" w:rsidRDefault="00494558" w:rsidP="00531514">
      <w:pPr>
        <w:rPr>
          <w:rFonts w:asciiTheme="minorHAnsi" w:hAnsiTheme="minorHAnsi" w:cstheme="minorHAnsi"/>
          <w:sz w:val="22"/>
          <w:szCs w:val="22"/>
        </w:rPr>
      </w:pPr>
      <w:r>
        <w:rPr>
          <w:rFonts w:asciiTheme="minorHAnsi" w:hAnsiTheme="minorHAnsi"/>
          <w:sz w:val="22"/>
          <w:szCs w:val="22"/>
        </w:rPr>
        <w:t>Decizia se trimite:</w:t>
      </w:r>
    </w:p>
    <w:p w:rsidR="00494558" w:rsidRPr="00FF4D56" w:rsidRDefault="00494558" w:rsidP="00FF4D56">
      <w:pPr>
        <w:pStyle w:val="ListParagraph"/>
        <w:numPr>
          <w:ilvl w:val="0"/>
          <w:numId w:val="1"/>
        </w:numPr>
        <w:ind w:left="284" w:hanging="294"/>
        <w:rPr>
          <w:rFonts w:asciiTheme="minorHAnsi" w:hAnsiTheme="minorHAnsi" w:cstheme="minorHAnsi"/>
          <w:sz w:val="22"/>
          <w:szCs w:val="22"/>
        </w:rPr>
      </w:pPr>
      <w:r>
        <w:rPr>
          <w:rFonts w:asciiTheme="minorHAnsi" w:hAnsiTheme="minorHAnsi"/>
          <w:sz w:val="22"/>
          <w:szCs w:val="22"/>
        </w:rPr>
        <w:t>Beneficiarilor;</w:t>
      </w:r>
    </w:p>
    <w:p w:rsidR="00FF4D56" w:rsidRPr="00FF4D56" w:rsidRDefault="00494558" w:rsidP="00FF4D56">
      <w:pPr>
        <w:pStyle w:val="ListParagraph"/>
        <w:numPr>
          <w:ilvl w:val="0"/>
          <w:numId w:val="1"/>
        </w:numPr>
        <w:ind w:left="284" w:hanging="294"/>
        <w:rPr>
          <w:rFonts w:asciiTheme="minorHAnsi" w:hAnsiTheme="minorHAnsi" w:cstheme="minorHAnsi"/>
          <w:sz w:val="22"/>
          <w:szCs w:val="22"/>
        </w:rPr>
      </w:pPr>
      <w:r>
        <w:rPr>
          <w:rFonts w:asciiTheme="minorHAnsi" w:hAnsiTheme="minorHAnsi"/>
          <w:sz w:val="22"/>
          <w:szCs w:val="22"/>
        </w:rPr>
        <w:t>Sectorului pentru activităţi material-financiare</w:t>
      </w:r>
    </w:p>
    <w:p w:rsidR="00494558" w:rsidRPr="00FF4D56" w:rsidRDefault="00494558" w:rsidP="00FF4D56">
      <w:pPr>
        <w:pStyle w:val="ListParagraph"/>
        <w:ind w:left="284"/>
        <w:rPr>
          <w:rFonts w:asciiTheme="minorHAnsi" w:hAnsiTheme="minorHAnsi" w:cstheme="minorHAnsi"/>
          <w:sz w:val="22"/>
          <w:szCs w:val="22"/>
        </w:rPr>
      </w:pPr>
      <w:r>
        <w:rPr>
          <w:rFonts w:asciiTheme="minorHAnsi" w:hAnsiTheme="minorHAnsi"/>
          <w:sz w:val="22"/>
          <w:szCs w:val="22"/>
        </w:rPr>
        <w:t>ale Secretariatului;</w:t>
      </w:r>
    </w:p>
    <w:p w:rsidR="00494558" w:rsidRPr="00873A7F" w:rsidRDefault="00873A7F" w:rsidP="00494558">
      <w:pPr>
        <w:pStyle w:val="ListParagraph"/>
        <w:numPr>
          <w:ilvl w:val="0"/>
          <w:numId w:val="1"/>
        </w:numPr>
        <w:ind w:left="284" w:hanging="294"/>
        <w:rPr>
          <w:rFonts w:asciiTheme="minorHAnsi" w:hAnsiTheme="minorHAnsi" w:cstheme="minorHAnsi"/>
          <w:sz w:val="22"/>
          <w:szCs w:val="22"/>
        </w:rPr>
      </w:pPr>
      <w:r>
        <w:rPr>
          <w:rFonts w:asciiTheme="minorHAnsi" w:hAnsiTheme="minorHAnsi"/>
          <w:sz w:val="22"/>
          <w:szCs w:val="22"/>
        </w:rPr>
        <w:t>Arhivei.</w:t>
      </w:r>
    </w:p>
    <w:tbl>
      <w:tblPr>
        <w:tblpPr w:leftFromText="180" w:rightFromText="180" w:vertAnchor="text" w:horzAnchor="margin" w:tblpXSpec="right" w:tblpY="288"/>
        <w:tblW w:w="0" w:type="auto"/>
        <w:tblLook w:val="01E0" w:firstRow="1" w:lastRow="1" w:firstColumn="1" w:lastColumn="1" w:noHBand="0" w:noVBand="0"/>
      </w:tblPr>
      <w:tblGrid>
        <w:gridCol w:w="4440"/>
      </w:tblGrid>
      <w:tr w:rsidR="00531514" w:rsidRPr="00CE353D" w:rsidTr="00F8616C">
        <w:tc>
          <w:tcPr>
            <w:tcW w:w="4440" w:type="dxa"/>
            <w:shd w:val="clear" w:color="auto" w:fill="auto"/>
          </w:tcPr>
          <w:p w:rsidR="00A4449C" w:rsidRPr="00A4449C" w:rsidRDefault="00A4449C" w:rsidP="00A4449C">
            <w:pPr>
              <w:tabs>
                <w:tab w:val="left" w:pos="2730"/>
                <w:tab w:val="center" w:pos="7200"/>
              </w:tabs>
              <w:jc w:val="center"/>
              <w:rPr>
                <w:rFonts w:ascii="Calibri" w:hAnsi="Calibri" w:cs="Calibri"/>
                <w:bCs/>
                <w:sz w:val="22"/>
                <w:szCs w:val="22"/>
              </w:rPr>
            </w:pPr>
            <w:r>
              <w:rPr>
                <w:rFonts w:ascii="Calibri" w:hAnsi="Calibri"/>
                <w:bCs/>
                <w:sz w:val="22"/>
                <w:szCs w:val="22"/>
              </w:rPr>
              <w:t>Secretar provincial</w:t>
            </w:r>
          </w:p>
          <w:p w:rsidR="00A4449C" w:rsidRPr="00A4449C" w:rsidRDefault="00A4449C" w:rsidP="00A4449C">
            <w:pPr>
              <w:tabs>
                <w:tab w:val="left" w:pos="2730"/>
                <w:tab w:val="center" w:pos="7200"/>
              </w:tabs>
              <w:jc w:val="center"/>
              <w:rPr>
                <w:rFonts w:ascii="Calibri" w:hAnsi="Calibri" w:cs="Calibri"/>
                <w:bCs/>
                <w:sz w:val="22"/>
                <w:szCs w:val="22"/>
              </w:rPr>
            </w:pPr>
            <w:r>
              <w:rPr>
                <w:rFonts w:ascii="Calibri" w:hAnsi="Calibri"/>
                <w:bCs/>
                <w:sz w:val="22"/>
                <w:szCs w:val="22"/>
              </w:rPr>
              <w:t>Róbert Ótott</w:t>
            </w:r>
          </w:p>
          <w:p w:rsidR="00531514" w:rsidRPr="00CE353D" w:rsidRDefault="00531514" w:rsidP="00A4449C">
            <w:pPr>
              <w:tabs>
                <w:tab w:val="left" w:pos="2730"/>
                <w:tab w:val="center" w:pos="7200"/>
              </w:tabs>
              <w:jc w:val="center"/>
              <w:rPr>
                <w:rFonts w:ascii="Calibri" w:hAnsi="Calibri" w:cs="Calibri"/>
                <w:bCs/>
                <w:sz w:val="22"/>
                <w:szCs w:val="22"/>
              </w:rPr>
            </w:pPr>
            <w:bookmarkStart w:id="0" w:name="_GoBack"/>
            <w:bookmarkEnd w:id="0"/>
          </w:p>
        </w:tc>
      </w:tr>
      <w:tr w:rsidR="00531514" w:rsidRPr="007633E9" w:rsidTr="00F8616C">
        <w:trPr>
          <w:trHeight w:val="382"/>
        </w:trPr>
        <w:tc>
          <w:tcPr>
            <w:tcW w:w="4440" w:type="dxa"/>
            <w:shd w:val="clear" w:color="auto" w:fill="auto"/>
          </w:tcPr>
          <w:p w:rsidR="00531514" w:rsidRPr="007633E9" w:rsidRDefault="00531514" w:rsidP="00F8616C">
            <w:pPr>
              <w:tabs>
                <w:tab w:val="left" w:pos="2730"/>
                <w:tab w:val="center" w:pos="7200"/>
              </w:tabs>
              <w:rPr>
                <w:rFonts w:ascii="Calibri" w:hAnsi="Calibri" w:cs="Calibri"/>
                <w:bCs/>
                <w:lang w:val="sr-Cyrl-CS"/>
              </w:rPr>
            </w:pPr>
          </w:p>
        </w:tc>
      </w:tr>
    </w:tbl>
    <w:p w:rsidR="00494558" w:rsidRPr="00FF4D56" w:rsidRDefault="00494558" w:rsidP="00FF4D56">
      <w:pPr>
        <w:rPr>
          <w:rFonts w:asciiTheme="minorHAnsi" w:hAnsiTheme="minorHAnsi" w:cstheme="minorHAnsi"/>
        </w:rPr>
      </w:pPr>
    </w:p>
    <w:sectPr w:rsidR="00494558" w:rsidRPr="00FF4D56" w:rsidSect="00F8616C">
      <w:footerReference w:type="default" r:id="rId8"/>
      <w:pgSz w:w="12240" w:h="15840"/>
      <w:pgMar w:top="993"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387" w:rsidRDefault="00DB4387" w:rsidP="00552686">
      <w:r>
        <w:separator/>
      </w:r>
    </w:p>
  </w:endnote>
  <w:endnote w:type="continuationSeparator" w:id="0">
    <w:p w:rsidR="00DB4387" w:rsidRDefault="00DB4387" w:rsidP="0055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686" w:rsidRDefault="00552686">
    <w:pPr>
      <w:pStyle w:val="Footer"/>
      <w:jc w:val="center"/>
    </w:pPr>
  </w:p>
  <w:p w:rsidR="00552686" w:rsidRDefault="00552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387" w:rsidRDefault="00DB4387" w:rsidP="00552686">
      <w:r>
        <w:separator/>
      </w:r>
    </w:p>
  </w:footnote>
  <w:footnote w:type="continuationSeparator" w:id="0">
    <w:p w:rsidR="00DB4387" w:rsidRDefault="00DB4387" w:rsidP="00552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22B4D"/>
    <w:multiLevelType w:val="hybridMultilevel"/>
    <w:tmpl w:val="EBA6DF3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17"/>
    <w:rsid w:val="00013955"/>
    <w:rsid w:val="00070EF1"/>
    <w:rsid w:val="000737E7"/>
    <w:rsid w:val="00081C65"/>
    <w:rsid w:val="000A7080"/>
    <w:rsid w:val="000C5617"/>
    <w:rsid w:val="000F5F15"/>
    <w:rsid w:val="00120960"/>
    <w:rsid w:val="00121BFF"/>
    <w:rsid w:val="0012609C"/>
    <w:rsid w:val="00182330"/>
    <w:rsid w:val="001A7145"/>
    <w:rsid w:val="001C309C"/>
    <w:rsid w:val="002179AE"/>
    <w:rsid w:val="00296E24"/>
    <w:rsid w:val="002C134E"/>
    <w:rsid w:val="002C24E1"/>
    <w:rsid w:val="00301F20"/>
    <w:rsid w:val="00303FA9"/>
    <w:rsid w:val="003323C4"/>
    <w:rsid w:val="003812D1"/>
    <w:rsid w:val="00384903"/>
    <w:rsid w:val="00391D12"/>
    <w:rsid w:val="003D7616"/>
    <w:rsid w:val="003F06B3"/>
    <w:rsid w:val="00461902"/>
    <w:rsid w:val="00494558"/>
    <w:rsid w:val="004A173E"/>
    <w:rsid w:val="004B21D0"/>
    <w:rsid w:val="00523D3B"/>
    <w:rsid w:val="00530417"/>
    <w:rsid w:val="00531514"/>
    <w:rsid w:val="00552686"/>
    <w:rsid w:val="005E2020"/>
    <w:rsid w:val="006073BE"/>
    <w:rsid w:val="00610647"/>
    <w:rsid w:val="006A48A4"/>
    <w:rsid w:val="006E140E"/>
    <w:rsid w:val="007131CD"/>
    <w:rsid w:val="00767A74"/>
    <w:rsid w:val="00780DA0"/>
    <w:rsid w:val="0082316C"/>
    <w:rsid w:val="0082433B"/>
    <w:rsid w:val="00862CAF"/>
    <w:rsid w:val="00873A7F"/>
    <w:rsid w:val="008A359E"/>
    <w:rsid w:val="008F5D16"/>
    <w:rsid w:val="00901070"/>
    <w:rsid w:val="00905C6C"/>
    <w:rsid w:val="009A7101"/>
    <w:rsid w:val="009C4C57"/>
    <w:rsid w:val="009E6782"/>
    <w:rsid w:val="009F41ED"/>
    <w:rsid w:val="00A207B7"/>
    <w:rsid w:val="00A33633"/>
    <w:rsid w:val="00A4449C"/>
    <w:rsid w:val="00A7001B"/>
    <w:rsid w:val="00AF043F"/>
    <w:rsid w:val="00AF7C6B"/>
    <w:rsid w:val="00BA2F24"/>
    <w:rsid w:val="00C0349C"/>
    <w:rsid w:val="00C164DE"/>
    <w:rsid w:val="00C76FD0"/>
    <w:rsid w:val="00CD77A9"/>
    <w:rsid w:val="00CE3671"/>
    <w:rsid w:val="00D26F8B"/>
    <w:rsid w:val="00D35A6D"/>
    <w:rsid w:val="00D41F88"/>
    <w:rsid w:val="00D5004A"/>
    <w:rsid w:val="00DA4CF6"/>
    <w:rsid w:val="00DB4387"/>
    <w:rsid w:val="00DE4203"/>
    <w:rsid w:val="00E94149"/>
    <w:rsid w:val="00F02DED"/>
    <w:rsid w:val="00F7167A"/>
    <w:rsid w:val="00F8616C"/>
    <w:rsid w:val="00FC2863"/>
    <w:rsid w:val="00FE4700"/>
    <w:rsid w:val="00FF4D56"/>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6F789-E191-469A-8376-A135416B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C57"/>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D56"/>
    <w:pPr>
      <w:ind w:left="720"/>
      <w:contextualSpacing/>
    </w:pPr>
  </w:style>
  <w:style w:type="paragraph" w:styleId="BalloonText">
    <w:name w:val="Balloon Text"/>
    <w:basedOn w:val="Normal"/>
    <w:link w:val="BalloonTextChar"/>
    <w:uiPriority w:val="99"/>
    <w:semiHidden/>
    <w:unhideWhenUsed/>
    <w:rsid w:val="00F86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16C"/>
    <w:rPr>
      <w:rFonts w:ascii="Segoe UI" w:eastAsia="Times New Roman" w:hAnsi="Segoe UI" w:cs="Segoe UI"/>
      <w:sz w:val="18"/>
      <w:szCs w:val="18"/>
    </w:rPr>
  </w:style>
  <w:style w:type="paragraph" w:styleId="Header">
    <w:name w:val="header"/>
    <w:basedOn w:val="Normal"/>
    <w:link w:val="HeaderChar"/>
    <w:uiPriority w:val="99"/>
    <w:unhideWhenUsed/>
    <w:rsid w:val="00552686"/>
    <w:pPr>
      <w:tabs>
        <w:tab w:val="center" w:pos="4680"/>
        <w:tab w:val="right" w:pos="9360"/>
      </w:tabs>
    </w:pPr>
  </w:style>
  <w:style w:type="character" w:customStyle="1" w:styleId="HeaderChar">
    <w:name w:val="Header Char"/>
    <w:basedOn w:val="DefaultParagraphFont"/>
    <w:link w:val="Header"/>
    <w:uiPriority w:val="99"/>
    <w:rsid w:val="00552686"/>
    <w:rPr>
      <w:rFonts w:ascii="Verdana" w:eastAsia="Times New Roman" w:hAnsi="Verdana" w:cs="Times New Roman"/>
      <w:sz w:val="24"/>
      <w:szCs w:val="24"/>
    </w:rPr>
  </w:style>
  <w:style w:type="paragraph" w:styleId="Footer">
    <w:name w:val="footer"/>
    <w:basedOn w:val="Normal"/>
    <w:link w:val="FooterChar"/>
    <w:uiPriority w:val="99"/>
    <w:unhideWhenUsed/>
    <w:rsid w:val="00552686"/>
    <w:pPr>
      <w:tabs>
        <w:tab w:val="center" w:pos="4680"/>
        <w:tab w:val="right" w:pos="9360"/>
      </w:tabs>
    </w:pPr>
  </w:style>
  <w:style w:type="character" w:customStyle="1" w:styleId="FooterChar">
    <w:name w:val="Footer Char"/>
    <w:basedOn w:val="DefaultParagraphFont"/>
    <w:link w:val="Footer"/>
    <w:uiPriority w:val="99"/>
    <w:rsid w:val="00552686"/>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3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Bata</dc:creator>
  <cp:keywords/>
  <dc:description/>
  <cp:lastModifiedBy>Adrian Čoban</cp:lastModifiedBy>
  <cp:revision>14</cp:revision>
  <cp:lastPrinted>2025-09-29T09:10:00Z</cp:lastPrinted>
  <dcterms:created xsi:type="dcterms:W3CDTF">2025-09-29T11:57:00Z</dcterms:created>
  <dcterms:modified xsi:type="dcterms:W3CDTF">2025-10-02T08:40:00Z</dcterms:modified>
</cp:coreProperties>
</file>