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C7" w:rsidRDefault="0072702C">
      <w:pPr>
        <w:pStyle w:val="BodyText"/>
        <w:spacing w:before="31"/>
        <w:ind w:left="3211"/>
      </w:pPr>
      <w:r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Srbská republika</w:t>
      </w:r>
    </w:p>
    <w:p w:rsidR="008155C7" w:rsidRDefault="0072702C">
      <w:pPr>
        <w:pStyle w:val="BodyText"/>
        <w:ind w:left="3211"/>
      </w:pPr>
      <w:r>
        <w:t>Autonómna pokrajina Vojvodina</w:t>
      </w:r>
    </w:p>
    <w:p w:rsidR="008155C7" w:rsidRDefault="0072702C">
      <w:pPr>
        <w:spacing w:before="1"/>
        <w:ind w:left="3211" w:right="1873"/>
        <w:rPr>
          <w:rFonts w:ascii="Calibri" w:hAnsi="Calibri"/>
        </w:rPr>
      </w:pPr>
      <w:r>
        <w:rPr>
          <w:rFonts w:ascii="Calibri" w:hAnsi="Calibri"/>
          <w:b/>
          <w:bCs/>
        </w:rPr>
        <w:t>Pokrajinský sekretariát vzdelávania, predpisov, správy a národnostných menšín – národnostných spoločenstiev</w:t>
      </w:r>
      <w:r>
        <w:rPr>
          <w:rFonts w:ascii="Calibri" w:hAnsi="Calibri"/>
        </w:rPr>
        <w:t xml:space="preserve"> Bulvár Mihajla Pupina 16, 21 000 Nový Sad</w:t>
      </w:r>
    </w:p>
    <w:p w:rsidR="008155C7" w:rsidRDefault="0072702C">
      <w:pPr>
        <w:pStyle w:val="BodyText"/>
        <w:spacing w:line="267" w:lineRule="exact"/>
        <w:ind w:left="3211"/>
      </w:pPr>
      <w:r>
        <w:t>T: +381 21 487 46 14, 487 40 36, 487 43 36</w:t>
      </w:r>
    </w:p>
    <w:p w:rsidR="008155C7" w:rsidRDefault="00B622B0">
      <w:pPr>
        <w:pStyle w:val="BodyText"/>
        <w:ind w:left="3211"/>
      </w:pPr>
      <w:hyperlink r:id="rId5">
        <w:r w:rsidR="0072702C">
          <w:rPr>
            <w:color w:val="0000FF"/>
            <w:u w:val="single" w:color="0000FF"/>
          </w:rPr>
          <w:t>ounz@vojvodinа.gov.rs</w:t>
        </w:r>
      </w:hyperlink>
    </w:p>
    <w:p w:rsidR="008155C7" w:rsidRDefault="008155C7">
      <w:pPr>
        <w:pStyle w:val="BodyText"/>
        <w:spacing w:before="5"/>
        <w:rPr>
          <w:sz w:val="19"/>
        </w:rPr>
      </w:pPr>
    </w:p>
    <w:p w:rsidR="008155C7" w:rsidRDefault="0072702C">
      <w:pPr>
        <w:pStyle w:val="BodyText"/>
        <w:tabs>
          <w:tab w:val="left" w:pos="6734"/>
        </w:tabs>
        <w:spacing w:before="56"/>
        <w:ind w:left="429"/>
      </w:pPr>
      <w:r>
        <w:t>ČÍSLO: 000227348 2025 09427 004 001 000 001/7-1</w:t>
      </w:r>
      <w:r>
        <w:tab/>
        <w:t xml:space="preserve">DÁTUM: </w:t>
      </w:r>
      <w:r w:rsidR="00B622B0">
        <w:t>0</w:t>
      </w:r>
      <w:r>
        <w:t xml:space="preserve">6. </w:t>
      </w:r>
      <w:r w:rsidR="00B622B0">
        <w:t>0</w:t>
      </w:r>
      <w:bookmarkStart w:id="0" w:name="_GoBack"/>
      <w:bookmarkEnd w:id="0"/>
      <w:r>
        <w:t>6. 2025</w:t>
      </w:r>
    </w:p>
    <w:p w:rsidR="008155C7" w:rsidRDefault="008155C7">
      <w:pPr>
        <w:pStyle w:val="BodyText"/>
        <w:spacing w:before="7"/>
        <w:rPr>
          <w:sz w:val="19"/>
        </w:rPr>
      </w:pPr>
    </w:p>
    <w:p w:rsidR="008155C7" w:rsidRDefault="0072702C">
      <w:pPr>
        <w:pStyle w:val="BodyText"/>
        <w:spacing w:before="57"/>
        <w:ind w:left="801" w:right="744" w:firstLine="540"/>
        <w:jc w:val="both"/>
      </w:pPr>
      <w:r>
        <w:t>Podľa čl. 15, 16 odsek 1 a 5 a 24 odsek 2 Pokrajinského parlamentného uznesenia o pokrajinskej správe (Úradný vestník APV č. 37/14, 54/14 ‒ iné uznesenie, 37/16, 29/17, 24/19, 66/20 a 22/25), článku 23 odsek 1 a 4 Pokrajinského parlamentného uznesenia o rozpočte Autonómnej pokrajiny Vojvodiny na rok 2025 (Úradný vestník APV č. 57/24), článku 8 Pravidiel pridelenia rozpočtových prostriedkov Pokrajinského sekretariátu vzdelávania, predpisov, správy a národnostných menšín – národnostných spoločenstiev na financovanie a spolufinancovanie vypracovania technickej dokumentácie pre potreby ustanovizní základného, stredného vzdelávania a výchovy a predškolských ustanovizní na území AP Vojvodiny (Úradný vestník APV č. 5/25 a 11/25), a podľa uskutočneného súbehu na financovanie a spolufinancovanie vypracovania technickej dokumentácie pre potreby základných a stredných škôl a predškolských ustanovizní číslo 000227348 2025 09427 004 001 000 001 zo dňa 29. 01. 2025 a 25. 02. 2025 (Úradný vestník APV číslo 6/2025 a 11/25), pokrajinský tajomník vynáša:</w:t>
      </w:r>
    </w:p>
    <w:p w:rsidR="008155C7" w:rsidRDefault="008155C7">
      <w:pPr>
        <w:pStyle w:val="BodyText"/>
        <w:spacing w:before="10"/>
        <w:rPr>
          <w:sz w:val="21"/>
        </w:rPr>
      </w:pPr>
    </w:p>
    <w:p w:rsidR="008155C7" w:rsidRDefault="0072702C">
      <w:pPr>
        <w:pStyle w:val="Heading2"/>
        <w:ind w:left="1039"/>
      </w:pPr>
      <w:r>
        <w:t>ROZHODNUTIE</w:t>
      </w:r>
    </w:p>
    <w:p w:rsidR="008155C7" w:rsidRDefault="0072702C">
      <w:pPr>
        <w:spacing w:before="1"/>
        <w:ind w:left="1044" w:right="803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O ROZVRHNUTÍ ROZPOČTOVÝCH PROSTRIEDKOV POKRAJINSKÉHO SEKRETARIÁTU VZDELÁVANIA, PREDPISOV, SPRÁVY A NÁRODNOSTNÝCH MENŠÍN – NÁRODNOSTNÝCH SPOLOČENSTIEV NA FINANCOVANIE A SPOLUFINANCOVANIE VYPRACOVANIA TECHNICKEJ DOKUMENTÁCIE PRE USTANOVIZNE ZÁKLADNÉHO VZDELÁVANIA A VÝCHOVY NA ÚZEMÍ AUTONÓMNEJ POKRAJINY VOJVODINY NA ROK 2025</w:t>
      </w:r>
      <w:r>
        <w:rPr>
          <w:rFonts w:ascii="Calibri" w:hAnsi="Calibri"/>
          <w:b/>
        </w:rPr>
        <w:t xml:space="preserve"> </w:t>
      </w:r>
    </w:p>
    <w:p w:rsidR="008155C7" w:rsidRDefault="008155C7">
      <w:pPr>
        <w:pStyle w:val="BodyText"/>
        <w:spacing w:before="1"/>
        <w:rPr>
          <w:b/>
        </w:rPr>
      </w:pPr>
    </w:p>
    <w:p w:rsidR="008155C7" w:rsidRDefault="0072702C">
      <w:pPr>
        <w:ind w:left="238"/>
        <w:jc w:val="center"/>
        <w:rPr>
          <w:rFonts w:ascii="Calibri"/>
          <w:b/>
        </w:rPr>
      </w:pPr>
      <w:r>
        <w:rPr>
          <w:rFonts w:ascii="Calibri"/>
          <w:b/>
        </w:rPr>
        <w:t>I.</w:t>
      </w:r>
    </w:p>
    <w:p w:rsidR="008155C7" w:rsidRDefault="0072702C">
      <w:pPr>
        <w:ind w:left="943" w:right="745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Týmto rozhodnutím sa určuje rozvrhnutie rozpočtových prostriedkov Pokrajinského sekretariátu vzdelávania, predpisov, správy a národnostných menšín – národnostných spoločenstiev </w:t>
      </w:r>
      <w:r>
        <w:rPr>
          <w:rFonts w:ascii="Calibri" w:hAnsi="Calibri"/>
          <w:b/>
          <w:bCs/>
        </w:rPr>
        <w:t>ustanovizniam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základného vzdelávania a výchovy</w:t>
      </w:r>
      <w:r>
        <w:rPr>
          <w:rFonts w:ascii="Calibri" w:hAnsi="Calibri"/>
        </w:rPr>
        <w:t xml:space="preserve"> podľa </w:t>
      </w:r>
      <w:r>
        <w:rPr>
          <w:rFonts w:ascii="Calibri" w:hAnsi="Calibri"/>
          <w:i/>
          <w:iCs/>
        </w:rPr>
        <w:t>Súbehu na financovanie a spolufinancovanie vypracovania technickej dokumentácie pre potreby ustanovizní základného a stredného vzdelávania a výchovy a predškolských ustanovizní na území Autonómnej pokrajiny Vojvodiny na rok 2025, číslo 000227348 2025 09427 004 001 000 001 z 29. 01. 2025 a z 25. 02. 2025 (ďalej len: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i/>
          <w:iCs/>
        </w:rPr>
        <w:t>súbeh)</w:t>
      </w:r>
      <w:r>
        <w:rPr>
          <w:rFonts w:ascii="Calibri" w:hAnsi="Calibri"/>
        </w:rPr>
        <w:t>.</w:t>
      </w:r>
    </w:p>
    <w:p w:rsidR="008155C7" w:rsidRDefault="008155C7">
      <w:pPr>
        <w:pStyle w:val="BodyText"/>
      </w:pPr>
    </w:p>
    <w:p w:rsidR="008155C7" w:rsidRDefault="0072702C">
      <w:pPr>
        <w:pStyle w:val="Heading2"/>
      </w:pPr>
      <w:r>
        <w:t>II.</w:t>
      </w:r>
    </w:p>
    <w:p w:rsidR="008155C7" w:rsidRDefault="0072702C">
      <w:pPr>
        <w:spacing w:before="2" w:line="237" w:lineRule="auto"/>
        <w:ind w:left="943" w:right="757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Súbehom sa určilo spolu </w:t>
      </w:r>
      <w:r>
        <w:rPr>
          <w:rFonts w:ascii="Calibri" w:hAnsi="Calibri"/>
          <w:b/>
          <w:bCs/>
        </w:rPr>
        <w:t>30 000 000,00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dinárov</w:t>
      </w:r>
      <w:r>
        <w:rPr>
          <w:rFonts w:ascii="Calibri" w:hAnsi="Calibri"/>
        </w:rPr>
        <w:t xml:space="preserve"> pre všetky stupne vzdelávania a v rámci toho </w:t>
      </w:r>
      <w:r>
        <w:rPr>
          <w:rFonts w:ascii="Calibri" w:hAnsi="Calibri"/>
          <w:b/>
          <w:bCs/>
        </w:rPr>
        <w:t>19 000 000,00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dinárov</w:t>
      </w:r>
      <w:r>
        <w:rPr>
          <w:rFonts w:ascii="Calibri" w:hAnsi="Calibri"/>
        </w:rPr>
        <w:t xml:space="preserve"> pre stupeň základného vzdelávania a výchovy.</w:t>
      </w:r>
    </w:p>
    <w:p w:rsidR="008155C7" w:rsidRDefault="0072702C">
      <w:pPr>
        <w:pStyle w:val="BodyText"/>
        <w:spacing w:before="2"/>
        <w:ind w:left="943" w:right="757" w:firstLine="566"/>
        <w:jc w:val="both"/>
      </w:pPr>
      <w:r>
        <w:t>Týmto rozhodnutím sa rozdeľujú finančné prostriedky pre ustanovizne základného vzdelávania a výchovy na území Autonómnej pokrajiny Vojvodiny v celkovej výške 19 000 000,00 dinárov.</w:t>
      </w:r>
    </w:p>
    <w:p w:rsidR="008155C7" w:rsidRPr="00881D39" w:rsidRDefault="0072702C">
      <w:pPr>
        <w:pStyle w:val="BodyText"/>
        <w:ind w:left="988" w:right="744" w:firstLine="520"/>
        <w:jc w:val="both"/>
      </w:pPr>
      <w:r>
        <w:t xml:space="preserve">Prostriedky sa schvaľujú ustanovizniam základného vzdelávania a výchovy (ďalej len: užívatelia) v súlade s predloženou tabuľkou 1. </w:t>
      </w:r>
      <w:r w:rsidRPr="00881D39">
        <w:rPr>
          <w:bCs/>
        </w:rPr>
        <w:t xml:space="preserve">ROZVRHNUTIE PROSTRIEDKOV NA FINANCOVANIE A SPOLUFINANCOVANIE VYPRACOVANIA TECHNICKEJ DOKUMENTÁCIE USTANOVIZNÍ ZÁKLADNÉHO VZDELÁVANIA A VÝCHOVY NA ÚZEMÍ AUTONÓMNEJ  </w:t>
      </w:r>
    </w:p>
    <w:p w:rsidR="008155C7" w:rsidRDefault="0072702C">
      <w:pPr>
        <w:pStyle w:val="BodyText"/>
        <w:spacing w:before="1"/>
        <w:ind w:left="988"/>
      </w:pPr>
      <w:r w:rsidRPr="00881D39">
        <w:rPr>
          <w:bCs/>
        </w:rPr>
        <w:t>VOJVODINY NA ROK 2025</w:t>
      </w:r>
      <w:r w:rsidR="00881D39">
        <w:rPr>
          <w:bCs/>
        </w:rPr>
        <w:t>,</w:t>
      </w:r>
      <w:r>
        <w:t xml:space="preserve"> ktorá je súčasťou tohto rozhodnutia.</w:t>
      </w:r>
    </w:p>
    <w:p w:rsidR="008155C7" w:rsidRDefault="008155C7">
      <w:pPr>
        <w:sectPr w:rsidR="008155C7">
          <w:type w:val="continuous"/>
          <w:pgSz w:w="12240" w:h="15840"/>
          <w:pgMar w:top="480" w:right="940" w:bottom="280" w:left="900" w:header="720" w:footer="720" w:gutter="0"/>
          <w:cols w:space="720"/>
        </w:sectPr>
      </w:pPr>
    </w:p>
    <w:p w:rsidR="008155C7" w:rsidRDefault="0072702C">
      <w:pPr>
        <w:pStyle w:val="Heading1"/>
        <w:spacing w:before="60"/>
        <w:ind w:firstLine="0"/>
        <w:rPr>
          <w:rFonts w:ascii="Times New Roman"/>
        </w:rPr>
      </w:pPr>
      <w:r>
        <w:rPr>
          <w:rFonts w:ascii="Times New Roman"/>
        </w:rPr>
        <w:lastRenderedPageBreak/>
        <w:t>2</w:t>
      </w:r>
    </w:p>
    <w:p w:rsidR="008155C7" w:rsidRDefault="0072702C">
      <w:pPr>
        <w:pStyle w:val="Heading2"/>
        <w:ind w:left="5232" w:right="0"/>
        <w:jc w:val="left"/>
      </w:pPr>
      <w:r>
        <w:t>III.</w:t>
      </w:r>
    </w:p>
    <w:p w:rsidR="008155C7" w:rsidRDefault="0072702C">
      <w:pPr>
        <w:pStyle w:val="BodyText"/>
        <w:ind w:left="943" w:right="692" w:firstLine="626"/>
        <w:jc w:val="both"/>
      </w:pPr>
      <w:r>
        <w:t>Prostriedky z bodu II. odsek 2 tohto rozhodnutia sú určené Pokrajinským parlamentným uznesením o rozpočte Autonómnej pokrajiny Vojvodiny na rok 2025, v osobitnom oddiele Pokrajinského sekretariátu vzdelávania, predpisov, správy a národnostných menšín – národnostných spoločenstiev (ďalej len: sekretariát), Program 2003 – Základné vzdelávanie, Programová aktivita 1006 – Modernizácia infraštruktúry základných škôl, funkčná klasifikácia 910, ekonomická klasifikácia 4632 – Kapitálové transfery ostatným úrovniam moci, zdroj financovania 01 00 – Všeobecné príjmy a rozpočtové výnosy, a prevedené užívateľom v súlade s prílevom finančných prostriedkov do rozpočtu AP Vojvodiny, teda s likvidnými rozpočtovými možnosťami.</w:t>
      </w:r>
    </w:p>
    <w:p w:rsidR="00881D39" w:rsidRDefault="00881D39">
      <w:pPr>
        <w:pStyle w:val="BodyText"/>
        <w:ind w:left="943" w:right="692" w:firstLine="626"/>
        <w:jc w:val="both"/>
      </w:pPr>
    </w:p>
    <w:p w:rsidR="008155C7" w:rsidRDefault="0072702C">
      <w:pPr>
        <w:pStyle w:val="Heading2"/>
      </w:pPr>
      <w:r>
        <w:t>IV.</w:t>
      </w:r>
    </w:p>
    <w:p w:rsidR="008155C7" w:rsidRDefault="0072702C">
      <w:pPr>
        <w:pStyle w:val="BodyText"/>
        <w:ind w:left="943" w:right="746" w:firstLine="566"/>
        <w:jc w:val="both"/>
      </w:pPr>
      <w:r>
        <w:t>Užívatelia sú povinní pri obstarávaní vypracovania technickej dokumentácie postupovať v súlade s ustanoveniami Zákona o verejnom obstarávaní a s podzákonnými aktami upravujúcimi verejné obstarávanie.</w:t>
      </w:r>
    </w:p>
    <w:p w:rsidR="008155C7" w:rsidRDefault="008155C7">
      <w:pPr>
        <w:pStyle w:val="BodyText"/>
        <w:spacing w:before="11"/>
        <w:rPr>
          <w:sz w:val="21"/>
        </w:rPr>
      </w:pPr>
    </w:p>
    <w:p w:rsidR="008155C7" w:rsidRDefault="0072702C">
      <w:pPr>
        <w:pStyle w:val="Heading2"/>
        <w:ind w:left="237" w:right="0"/>
      </w:pPr>
      <w:r>
        <w:t>V.</w:t>
      </w:r>
    </w:p>
    <w:p w:rsidR="008155C7" w:rsidRDefault="0072702C">
      <w:pPr>
        <w:pStyle w:val="BodyText"/>
        <w:ind w:left="988" w:right="746" w:firstLine="520"/>
        <w:jc w:val="both"/>
      </w:pPr>
      <w:r>
        <w:t>Sekretariát informuje užívateľov o rozvrhnutí finančných prostriedkov, ktoré sú určené týmto rozhodnutím.</w:t>
      </w:r>
    </w:p>
    <w:p w:rsidR="008155C7" w:rsidRDefault="008155C7">
      <w:pPr>
        <w:pStyle w:val="BodyText"/>
        <w:spacing w:before="1"/>
      </w:pPr>
    </w:p>
    <w:p w:rsidR="008155C7" w:rsidRDefault="0072702C">
      <w:pPr>
        <w:pStyle w:val="Heading2"/>
        <w:ind w:left="1041"/>
      </w:pPr>
      <w:r>
        <w:t>VI.</w:t>
      </w:r>
    </w:p>
    <w:p w:rsidR="008155C7" w:rsidRDefault="0072702C" w:rsidP="00881D39">
      <w:pPr>
        <w:pStyle w:val="BodyText"/>
        <w:ind w:left="1044" w:right="651" w:firstLine="396"/>
      </w:pPr>
      <w:r>
        <w:t>Sekretariát prevezme záväzok voči užívateľom na základe písomnej zmluvy.</w:t>
      </w:r>
    </w:p>
    <w:p w:rsidR="008155C7" w:rsidRDefault="008155C7">
      <w:pPr>
        <w:pStyle w:val="BodyText"/>
        <w:spacing w:before="1"/>
      </w:pPr>
    </w:p>
    <w:p w:rsidR="008155C7" w:rsidRDefault="0072702C">
      <w:pPr>
        <w:pStyle w:val="Heading2"/>
        <w:spacing w:line="267" w:lineRule="exact"/>
      </w:pPr>
      <w:r>
        <w:t>VII.</w:t>
      </w:r>
    </w:p>
    <w:p w:rsidR="008155C7" w:rsidRDefault="0072702C">
      <w:pPr>
        <w:pStyle w:val="BodyText"/>
        <w:spacing w:line="267" w:lineRule="exact"/>
        <w:ind w:left="1435"/>
      </w:pPr>
      <w:r>
        <w:t>Toto rozhodnutie je konečné a proti nemu nemožno podať sťažnosť.</w:t>
      </w:r>
    </w:p>
    <w:p w:rsidR="008155C7" w:rsidRDefault="008155C7">
      <w:pPr>
        <w:pStyle w:val="BodyText"/>
      </w:pPr>
    </w:p>
    <w:p w:rsidR="008155C7" w:rsidRDefault="0072702C">
      <w:pPr>
        <w:pStyle w:val="Heading2"/>
        <w:ind w:left="1041"/>
      </w:pPr>
      <w:r>
        <w:t>VIII.</w:t>
      </w:r>
    </w:p>
    <w:p w:rsidR="008155C7" w:rsidRDefault="0072702C">
      <w:pPr>
        <w:pStyle w:val="BodyText"/>
        <w:spacing w:before="1"/>
        <w:ind w:left="988" w:right="748" w:firstLine="446"/>
        <w:jc w:val="both"/>
      </w:pPr>
      <w:r>
        <w:t>Za výkon tohto rozhodnutia je zodpovedný Sektor pre hmotno-finančné úkony sekretariátu.</w:t>
      </w:r>
    </w:p>
    <w:p w:rsidR="008155C7" w:rsidRDefault="008155C7">
      <w:pPr>
        <w:pStyle w:val="BodyText"/>
      </w:pPr>
    </w:p>
    <w:p w:rsidR="00881D39" w:rsidRDefault="00881D39">
      <w:pPr>
        <w:pStyle w:val="BodyText"/>
      </w:pPr>
    </w:p>
    <w:p w:rsidR="008155C7" w:rsidRDefault="0072702C">
      <w:pPr>
        <w:pStyle w:val="BodyText"/>
        <w:ind w:left="988"/>
      </w:pPr>
      <w:r>
        <w:t>Rozhodnutie doručiť:</w:t>
      </w:r>
    </w:p>
    <w:p w:rsidR="008155C7" w:rsidRDefault="0072702C">
      <w:pPr>
        <w:pStyle w:val="BodyText"/>
        <w:tabs>
          <w:tab w:val="left" w:pos="1166"/>
        </w:tabs>
        <w:spacing w:before="1"/>
        <w:ind w:left="1161" w:right="5876" w:hanging="360"/>
      </w:pPr>
      <w:r>
        <w:t>- Se</w:t>
      </w:r>
      <w:r w:rsidR="00881D39">
        <w:t xml:space="preserve">ktoru pre hmotno-finančné úkony </w:t>
      </w:r>
      <w:r>
        <w:t>sekretariátu</w:t>
      </w:r>
    </w:p>
    <w:p w:rsidR="008155C7" w:rsidRDefault="008155C7">
      <w:pPr>
        <w:pStyle w:val="BodyText"/>
        <w:spacing w:before="10"/>
        <w:rPr>
          <w:sz w:val="21"/>
        </w:rPr>
      </w:pPr>
    </w:p>
    <w:p w:rsidR="008155C7" w:rsidRDefault="00B622B0">
      <w:pPr>
        <w:pStyle w:val="Heading1"/>
        <w:ind w:left="7891" w:right="1243"/>
      </w:pPr>
      <w:r>
        <w:pict>
          <v:line id="_x0000_s1029" style="position:absolute;left:0;text-align:left;z-index:-251658752;mso-wrap-distance-left:0;mso-wrap-distance-right:0;mso-position-horizontal-relative:page" from="392.5pt,35.6pt" to="522.4pt,35.6pt" strokeweight=".48pt">
            <w10:wrap type="topAndBottom" anchorx="page"/>
          </v:line>
        </w:pict>
      </w:r>
      <w:r w:rsidR="0072702C">
        <w:t>POKRAJINSKÝ TAJOMNÍK</w:t>
      </w:r>
    </w:p>
    <w:p w:rsidR="008155C7" w:rsidRDefault="0072702C">
      <w:pPr>
        <w:pStyle w:val="BodyText"/>
        <w:ind w:left="7860" w:right="1247" w:firstLine="43"/>
      </w:pPr>
      <w:r>
        <w:t>Ótott Róbert</w:t>
      </w:r>
    </w:p>
    <w:p w:rsidR="008155C7" w:rsidRDefault="008155C7">
      <w:pPr>
        <w:pStyle w:val="BodyText"/>
        <w:rPr>
          <w:sz w:val="20"/>
        </w:rPr>
      </w:pPr>
    </w:p>
    <w:p w:rsidR="008155C7" w:rsidRDefault="008155C7">
      <w:pPr>
        <w:pStyle w:val="BodyText"/>
        <w:rPr>
          <w:sz w:val="20"/>
        </w:rPr>
      </w:pPr>
    </w:p>
    <w:p w:rsidR="008155C7" w:rsidRDefault="00B622B0">
      <w:pPr>
        <w:pStyle w:val="BodyText"/>
        <w:rPr>
          <w:sz w:val="12"/>
        </w:rPr>
      </w:pPr>
      <w:r>
        <w:pict>
          <v:group id="_x0000_s1026" style="position:absolute;margin-left:311.55pt;margin-top:9.3pt;width:214.75pt;height:100.2pt;z-index:-251657728;mso-wrap-distance-left:0;mso-wrap-distance-right:0;mso-position-horizontal-relative:page" coordorigin="6231,186" coordsize="4295,20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346;top:781;width:1144;height:61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233;top:188;width:4291;height:2000" filled="f" strokeweight=".06653mm">
              <v:textbox inset="0,0,0,0">
                <w:txbxContent>
                  <w:p w:rsidR="008155C7" w:rsidRDefault="0072702C">
                    <w:pPr>
                      <w:spacing w:before="2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Република Србија</w:t>
                    </w:r>
                  </w:p>
                  <w:p w:rsidR="008155C7" w:rsidRDefault="0072702C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Аутономна покрајина Војводина</w:t>
                    </w:r>
                  </w:p>
                  <w:p w:rsidR="008155C7" w:rsidRDefault="0072702C">
                    <w:pPr>
                      <w:spacing w:before="3" w:line="249" w:lineRule="auto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Покрајински секретаријат за образовање,прописе, управу и националне мањине-националне заједнице Нови Сад</w:t>
                    </w:r>
                  </w:p>
                  <w:p w:rsidR="008155C7" w:rsidRDefault="0072702C">
                    <w:pPr>
                      <w:spacing w:before="2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Szerb Köztársaság,</w:t>
                    </w:r>
                  </w:p>
                  <w:p w:rsidR="008155C7" w:rsidRDefault="0072702C">
                    <w:pPr>
                      <w:spacing w:before="3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Vajdaság Autonóm Tartomány</w:t>
                    </w:r>
                  </w:p>
                  <w:p w:rsidR="008155C7" w:rsidRDefault="0072702C">
                    <w:pPr>
                      <w:spacing w:before="4" w:line="249" w:lineRule="auto"/>
                      <w:ind w:left="1398" w:right="152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Tartományi Oktatási, Jogalkotási, Közigazgatási és Nemzeti Kisebbségi – Nemzeti Közösségi Titkárság Újvidék</w:t>
                    </w:r>
                  </w:p>
                  <w:p w:rsidR="008155C7" w:rsidRDefault="0072702C">
                    <w:pPr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Srbská republika</w:t>
                    </w:r>
                  </w:p>
                  <w:p w:rsidR="008155C7" w:rsidRDefault="0072702C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Autonómna pokrajina Vojvodina</w:t>
                    </w:r>
                  </w:p>
                  <w:p w:rsidR="008155C7" w:rsidRDefault="0072702C">
                    <w:pPr>
                      <w:spacing w:before="3" w:line="254" w:lineRule="auto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8155C7" w:rsidRDefault="0072702C">
                    <w:pPr>
                      <w:spacing w:line="72" w:lineRule="exact"/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Republika Srbija</w:t>
                    </w:r>
                  </w:p>
                  <w:p w:rsidR="008155C7" w:rsidRDefault="0072702C">
                    <w:pPr>
                      <w:spacing w:before="4"/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Autonomna Pokrajina Vojvodina</w:t>
                    </w:r>
                  </w:p>
                  <w:p w:rsidR="008155C7" w:rsidRDefault="0072702C">
                    <w:pPr>
                      <w:spacing w:before="4" w:line="249" w:lineRule="auto"/>
                      <w:ind w:left="1398" w:right="292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Pokrajinsko tajništvo za obrazovanje, propise, upravu i nacionalne manjine – nacionalne zajednice Novi Sad</w:t>
                    </w:r>
                  </w:p>
                  <w:p w:rsidR="008155C7" w:rsidRDefault="0072702C">
                    <w:pPr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Republica Serbia</w:t>
                    </w:r>
                  </w:p>
                  <w:p w:rsidR="008155C7" w:rsidRDefault="0072702C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Provincia Autonomă Voivodina</w:t>
                    </w:r>
                  </w:p>
                  <w:p w:rsidR="008155C7" w:rsidRDefault="0072702C">
                    <w:pPr>
                      <w:spacing w:before="3" w:line="254" w:lineRule="auto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Secretariatul Provincial pentru Educaţie, Reglementări, Administraţie şi Minorităţile Naţionale-Comunităţile Naţionale</w:t>
                    </w:r>
                  </w:p>
                  <w:p w:rsidR="008155C7" w:rsidRDefault="0072702C">
                    <w:pPr>
                      <w:spacing w:line="72" w:lineRule="exact"/>
                      <w:ind w:left="1398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sz w:val="6"/>
                      </w:rPr>
                      <w:t>Novi Sad</w:t>
                    </w:r>
                  </w:p>
                  <w:p w:rsidR="008155C7" w:rsidRDefault="0072702C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Република Сербия</w:t>
                    </w:r>
                  </w:p>
                  <w:p w:rsidR="008155C7" w:rsidRDefault="0072702C">
                    <w:pPr>
                      <w:spacing w:before="4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Автономна Покраїна Войводина</w:t>
                    </w:r>
                  </w:p>
                  <w:p w:rsidR="008155C7" w:rsidRDefault="0072702C">
                    <w:pPr>
                      <w:spacing w:before="3" w:line="249" w:lineRule="auto"/>
                      <w:ind w:left="1398" w:right="152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Покраїнски секретарият за образованє, предписаня, управу и национални меншини-национални заєднїци</w:t>
                    </w:r>
                  </w:p>
                  <w:p w:rsidR="008155C7" w:rsidRDefault="0072702C">
                    <w:pPr>
                      <w:spacing w:before="1"/>
                      <w:ind w:left="1398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sz w:val="6"/>
                      </w:rPr>
                      <w:t>Novi Sad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55C7" w:rsidRDefault="008155C7">
      <w:pPr>
        <w:rPr>
          <w:sz w:val="12"/>
        </w:rPr>
        <w:sectPr w:rsidR="008155C7">
          <w:pgSz w:w="12240" w:h="15840"/>
          <w:pgMar w:top="660" w:right="940" w:bottom="280" w:left="900" w:header="720" w:footer="720" w:gutter="0"/>
          <w:cols w:space="720"/>
        </w:sectPr>
      </w:pPr>
    </w:p>
    <w:p w:rsidR="008155C7" w:rsidRDefault="0072702C">
      <w:pPr>
        <w:spacing w:before="80"/>
        <w:ind w:left="798" w:right="803"/>
        <w:jc w:val="center"/>
        <w:rPr>
          <w:sz w:val="18"/>
        </w:rPr>
      </w:pPr>
      <w:r>
        <w:rPr>
          <w:sz w:val="18"/>
        </w:rPr>
        <w:lastRenderedPageBreak/>
        <w:t>Tabuľka č. 1:</w:t>
      </w:r>
    </w:p>
    <w:p w:rsidR="008155C7" w:rsidRPr="00881D39" w:rsidRDefault="0072702C">
      <w:pPr>
        <w:spacing w:before="37" w:line="283" w:lineRule="auto"/>
        <w:ind w:left="353" w:right="413"/>
        <w:jc w:val="center"/>
        <w:rPr>
          <w:sz w:val="18"/>
        </w:rPr>
      </w:pPr>
      <w:r w:rsidRPr="00881D39">
        <w:rPr>
          <w:bCs/>
          <w:sz w:val="18"/>
        </w:rPr>
        <w:t xml:space="preserve">ROZVRHNUTIE PROSTRIEDKOV NA FINANCOVANIE A SPOLUFINANCOVANIE VYPRACOVANIA TECHNICKEJ DOKUMENTÁCIE PRE POTREBY  USTANOVIZNÍ ZÁKLADNÉHO VZDELÁVANIA A VÝCHOVY NA ÚZEMÍ AUTONÓMNEJ POKRAJINY VOJVODINY </w:t>
      </w:r>
    </w:p>
    <w:p w:rsidR="008155C7" w:rsidRPr="00881D39" w:rsidRDefault="0072702C">
      <w:pPr>
        <w:spacing w:before="2"/>
        <w:ind w:left="800" w:right="803"/>
        <w:jc w:val="center"/>
        <w:rPr>
          <w:sz w:val="18"/>
        </w:rPr>
      </w:pPr>
      <w:r w:rsidRPr="00881D39">
        <w:rPr>
          <w:bCs/>
          <w:sz w:val="18"/>
        </w:rPr>
        <w:t>NA ROK 2025</w:t>
      </w:r>
    </w:p>
    <w:p w:rsidR="008155C7" w:rsidRDefault="008155C7">
      <w:pPr>
        <w:spacing w:before="4" w:after="1"/>
        <w:rPr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8155C7">
        <w:trPr>
          <w:trHeight w:val="1292"/>
        </w:trPr>
        <w:tc>
          <w:tcPr>
            <w:tcW w:w="10164" w:type="dxa"/>
            <w:gridSpan w:val="6"/>
            <w:tcBorders>
              <w:top w:val="nil"/>
              <w:left w:val="nil"/>
              <w:right w:val="nil"/>
            </w:tcBorders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4"/>
              <w:rPr>
                <w:sz w:val="20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30" w:right="148" w:firstLine="21"/>
              <w:rPr>
                <w:sz w:val="16"/>
              </w:rPr>
            </w:pPr>
            <w:r>
              <w:rPr>
                <w:b/>
                <w:bCs/>
                <w:color w:val="FFFFFF"/>
                <w:sz w:val="16"/>
              </w:rPr>
              <w:t>SÚBEH NA FINANCOVANIE A SPOLUFINANCOVANIE VYPRACOVANIA TECHNICKEJ DOKUMENTÁCIE PRE POTREBY USTANOVIZNÍ ZÁKLADNÉHO, STREDNÉHO VZDELÁVANIA A VÝCHOVY A PREDŠKOLSKÝCH USTANOVIZNÍ NA ÚZEMÍ AUTONÓMNEJ POKRAJINY VOJVODINY NA ROK 2025</w:t>
            </w:r>
          </w:p>
        </w:tc>
      </w:tr>
      <w:tr w:rsidR="008155C7">
        <w:trPr>
          <w:trHeight w:val="1345"/>
        </w:trPr>
        <w:tc>
          <w:tcPr>
            <w:tcW w:w="1327" w:type="dxa"/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3"/>
              <w:rPr>
                <w:sz w:val="14"/>
              </w:rPr>
            </w:pPr>
          </w:p>
          <w:p w:rsidR="008155C7" w:rsidRDefault="0072702C">
            <w:pPr>
              <w:pStyle w:val="TableParagraph"/>
              <w:ind w:left="308" w:right="28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Poradové č.</w:t>
            </w:r>
          </w:p>
        </w:tc>
        <w:tc>
          <w:tcPr>
            <w:tcW w:w="1826" w:type="dxa"/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10"/>
            </w:pPr>
          </w:p>
          <w:p w:rsidR="008155C7" w:rsidRDefault="0072702C">
            <w:pPr>
              <w:pStyle w:val="TableParagraph"/>
              <w:spacing w:line="288" w:lineRule="auto"/>
              <w:ind w:left="628" w:right="35" w:hanging="401"/>
              <w:rPr>
                <w:sz w:val="16"/>
              </w:rPr>
            </w:pPr>
            <w:r>
              <w:rPr>
                <w:color w:val="FFFFFF"/>
                <w:sz w:val="16"/>
              </w:rPr>
              <w:t>Názov žiadateľa</w:t>
            </w:r>
          </w:p>
        </w:tc>
        <w:tc>
          <w:tcPr>
            <w:tcW w:w="1327" w:type="dxa"/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3"/>
              <w:rPr>
                <w:sz w:val="14"/>
              </w:rPr>
            </w:pPr>
          </w:p>
          <w:p w:rsidR="008155C7" w:rsidRDefault="0072702C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FFFFFF"/>
                <w:sz w:val="16"/>
              </w:rPr>
              <w:t>Obec</w:t>
            </w:r>
          </w:p>
        </w:tc>
        <w:tc>
          <w:tcPr>
            <w:tcW w:w="1421" w:type="dxa"/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3"/>
              <w:rPr>
                <w:sz w:val="14"/>
              </w:rPr>
            </w:pPr>
          </w:p>
          <w:p w:rsidR="008155C7" w:rsidRDefault="0072702C">
            <w:pPr>
              <w:pStyle w:val="TableParagraph"/>
              <w:ind w:left="489"/>
              <w:rPr>
                <w:sz w:val="16"/>
              </w:rPr>
            </w:pPr>
            <w:r>
              <w:rPr>
                <w:color w:val="FFFFFF"/>
                <w:sz w:val="16"/>
              </w:rPr>
              <w:t>Miesto</w:t>
            </w:r>
          </w:p>
        </w:tc>
        <w:tc>
          <w:tcPr>
            <w:tcW w:w="2842" w:type="dxa"/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6"/>
              <w:rPr>
                <w:sz w:val="14"/>
              </w:rPr>
            </w:pPr>
          </w:p>
          <w:p w:rsidR="008155C7" w:rsidRDefault="0072702C">
            <w:pPr>
              <w:pStyle w:val="TableParagraph"/>
              <w:ind w:left="309"/>
              <w:rPr>
                <w:sz w:val="16"/>
              </w:rPr>
            </w:pPr>
            <w:r>
              <w:rPr>
                <w:color w:val="FFFFFF"/>
                <w:sz w:val="16"/>
              </w:rPr>
              <w:t>Účel pridelených prostriedkov</w:t>
            </w:r>
          </w:p>
        </w:tc>
        <w:tc>
          <w:tcPr>
            <w:tcW w:w="1421" w:type="dxa"/>
            <w:shd w:val="clear" w:color="auto" w:fill="13647E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10"/>
            </w:pPr>
          </w:p>
          <w:p w:rsidR="008155C7" w:rsidRDefault="0072702C">
            <w:pPr>
              <w:pStyle w:val="TableParagraph"/>
              <w:spacing w:line="288" w:lineRule="auto"/>
              <w:ind w:left="345" w:hanging="296"/>
              <w:rPr>
                <w:sz w:val="16"/>
              </w:rPr>
            </w:pPr>
            <w:r>
              <w:rPr>
                <w:color w:val="FFFFFF"/>
                <w:sz w:val="16"/>
              </w:rPr>
              <w:t>Suma pridelených prostriedkov</w:t>
            </w:r>
          </w:p>
        </w:tc>
      </w:tr>
      <w:tr w:rsidR="008155C7">
        <w:trPr>
          <w:trHeight w:val="1563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1"/>
              <w:rPr>
                <w:sz w:val="24"/>
              </w:rPr>
            </w:pPr>
          </w:p>
          <w:p w:rsidR="008155C7" w:rsidRDefault="0072702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6"/>
              <w:rPr>
                <w:sz w:val="14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Cseha Károlyho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1"/>
              <w:rPr>
                <w:sz w:val="24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Ada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1"/>
              <w:rPr>
                <w:sz w:val="24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Ada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39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>na financovanie projektovej a technickej dokumentácie pre výstavbu hydrantovej siete na dvore a v budovách, vodojemu a zariadenia na zvyšovanie tlaku v centrálnej budove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1"/>
              <w:rPr>
                <w:sz w:val="24"/>
              </w:rPr>
            </w:pPr>
          </w:p>
          <w:p w:rsidR="008155C7" w:rsidRDefault="0072702C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1 140 000,00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Bratstva – jednoty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Báčska Тоpola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>Bajša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08" w:line="288" w:lineRule="auto"/>
              <w:ind w:left="28" w:right="43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pre sanáciu existujúcej strechy a strešnej krytiny na časti školskej budovy, telocvične a ihriska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960 000,00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18. októbra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Báčska Тоpola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>Novo Orahovo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9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8" w:right="199"/>
              <w:rPr>
                <w:sz w:val="16"/>
              </w:rPr>
            </w:pPr>
            <w:r>
              <w:rPr>
                <w:sz w:val="16"/>
              </w:rPr>
              <w:t>na financovanie ideového projektu úpravy hygienických uzlov v centrálnej časti hlavného objektu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282 000,00</w:t>
            </w:r>
          </w:p>
        </w:tc>
      </w:tr>
      <w:tr w:rsidR="008155C7">
        <w:trPr>
          <w:trHeight w:val="1528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5"/>
            </w:pPr>
          </w:p>
          <w:p w:rsidR="008155C7" w:rsidRDefault="0072702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81D39" w:rsidRDefault="0072702C">
            <w:pPr>
              <w:pStyle w:val="TableParagraph"/>
              <w:spacing w:before="148"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before="148"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Starého Kovača Đulu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5"/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Báčska Тоpola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5"/>
            </w:pPr>
          </w:p>
          <w:p w:rsidR="008155C7" w:rsidRDefault="0072702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Stara Moravica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20" w:line="288" w:lineRule="auto"/>
              <w:ind w:left="28" w:right="39"/>
              <w:rPr>
                <w:sz w:val="16"/>
              </w:rPr>
            </w:pPr>
            <w:r>
              <w:rPr>
                <w:sz w:val="16"/>
              </w:rPr>
              <w:t>na financovanie vypracovania ideového návrhu a projektu výmeny existujúcich svietidiel za svetelné zdroje LED (veľká škola, telocvičňa, malá škola a skautské centrum)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5"/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698 400,00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Základná škola</w:t>
            </w:r>
          </w:p>
          <w:p w:rsidR="008155C7" w:rsidRDefault="0072702C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Petőfi Sándora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Bečej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Bečej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08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pre rekonštrukciu a úpravu podkrovia školskej budovy (vytvorenie 3 učební)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300 000,00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Základná hudobná škola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Vrbas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Vrbas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9" w:line="220" w:lineRule="atLeast"/>
              <w:ind w:left="28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(projekty energetických a telekomunikačných inštalácií)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54 400,00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Hudobná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Josifa Marinkovića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Vršac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Vršac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9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pre realizáciu investičných údržbárskych prác na budove hudobnej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320 000,00</w:t>
            </w:r>
          </w:p>
        </w:tc>
      </w:tr>
    </w:tbl>
    <w:p w:rsidR="008155C7" w:rsidRDefault="008155C7">
      <w:pPr>
        <w:jc w:val="right"/>
        <w:rPr>
          <w:sz w:val="16"/>
        </w:rPr>
        <w:sectPr w:rsidR="008155C7">
          <w:pgSz w:w="12240" w:h="15840"/>
          <w:pgMar w:top="1180" w:right="94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Dr. Aleksandra Sabovljevho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Zreňanin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Ečka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spacing w:before="4"/>
              <w:rPr>
                <w:sz w:val="14"/>
              </w:rPr>
            </w:pPr>
          </w:p>
          <w:p w:rsidR="008155C7" w:rsidRDefault="0072702C">
            <w:pPr>
              <w:pStyle w:val="TableParagraph"/>
              <w:spacing w:before="1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na legalizáciu budovy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3 200 000,00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155C7" w:rsidRDefault="00881D39">
            <w:pPr>
              <w:pStyle w:val="TableParagraph"/>
              <w:spacing w:line="288" w:lineRule="auto"/>
              <w:ind w:left="28" w:right="593"/>
              <w:rPr>
                <w:sz w:val="16"/>
              </w:rPr>
            </w:pPr>
            <w:r>
              <w:rPr>
                <w:sz w:val="16"/>
              </w:rPr>
              <w:t xml:space="preserve">Základná škola Svetozara </w:t>
            </w:r>
            <w:r w:rsidR="0072702C">
              <w:rPr>
                <w:sz w:val="16"/>
              </w:rPr>
              <w:t>Markovića Tozu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Zreňanin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Elemir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spacing w:before="4"/>
              <w:rPr>
                <w:sz w:val="14"/>
              </w:rPr>
            </w:pPr>
          </w:p>
          <w:p w:rsidR="008155C7" w:rsidRDefault="0072702C">
            <w:pPr>
              <w:pStyle w:val="TableParagraph"/>
              <w:spacing w:before="1" w:line="288" w:lineRule="auto"/>
              <w:ind w:left="28" w:right="66"/>
              <w:jc w:val="both"/>
              <w:rPr>
                <w:sz w:val="16"/>
              </w:rPr>
            </w:pPr>
            <w:r>
              <w:rPr>
                <w:sz w:val="16"/>
              </w:rPr>
              <w:t>na spolufinancovanie vypracovania projektovej a technickej dokumentácie pre obnovu a rekonštrukciu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1 501 000,00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81D39" w:rsidRDefault="00881D39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Základná škola</w:t>
            </w:r>
            <w:r w:rsidR="0072702C">
              <w:rPr>
                <w:sz w:val="16"/>
              </w:rPr>
              <w:t xml:space="preserve">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Dr. Đorđa Natoševića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Inđija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Novi Slankamen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spacing w:before="4"/>
              <w:rPr>
                <w:sz w:val="14"/>
              </w:rPr>
            </w:pPr>
          </w:p>
          <w:p w:rsidR="008155C7" w:rsidRDefault="0072702C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pre sieť požiarnych hydrantov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240 000,00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Karoliny Karas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Kanjiža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Horgoš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9" w:line="220" w:lineRule="atLeast"/>
              <w:ind w:left="28" w:right="63"/>
              <w:rPr>
                <w:sz w:val="16"/>
              </w:rPr>
            </w:pPr>
            <w:r>
              <w:rPr>
                <w:sz w:val="16"/>
              </w:rPr>
              <w:t>na financovanie rozvoja investičnej údržby zastaraných stolárskych konštrukcií v starej časti školskej budovy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202 800,00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Jovana Jovanovića Zmaja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Kanjiža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Kanjiža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9" w:line="220" w:lineRule="atLeast"/>
              <w:ind w:left="28" w:right="160"/>
              <w:rPr>
                <w:sz w:val="16"/>
              </w:rPr>
            </w:pPr>
            <w:r>
              <w:rPr>
                <w:sz w:val="16"/>
              </w:rPr>
              <w:t>na financovanie vypracovania technickej dokumentácie na zvýšenie energetickej efektívnosti budovy školy Adi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792 000,00</w:t>
            </w:r>
          </w:p>
        </w:tc>
      </w:tr>
      <w:tr w:rsidR="008155C7">
        <w:trPr>
          <w:trHeight w:val="1211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26"/>
              </w:rPr>
            </w:pPr>
          </w:p>
          <w:p w:rsidR="008155C7" w:rsidRDefault="0072702C">
            <w:pPr>
              <w:pStyle w:val="TableParagraph"/>
              <w:spacing w:before="1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7"/>
              </w:rPr>
            </w:pPr>
          </w:p>
          <w:p w:rsidR="008155C7" w:rsidRDefault="0072702C">
            <w:pPr>
              <w:pStyle w:val="TableParagraph"/>
              <w:spacing w:before="1" w:line="288" w:lineRule="auto"/>
              <w:ind w:left="28" w:right="45"/>
              <w:rPr>
                <w:sz w:val="16"/>
              </w:rPr>
            </w:pPr>
            <w:r>
              <w:rPr>
                <w:sz w:val="16"/>
              </w:rPr>
              <w:t>Modelová základná škola Adi Endreho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26"/>
              </w:rPr>
            </w:pPr>
          </w:p>
          <w:p w:rsidR="008155C7" w:rsidRDefault="0072702C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Mali Iđoš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26"/>
              </w:rPr>
            </w:pPr>
          </w:p>
          <w:p w:rsidR="008155C7" w:rsidRDefault="0072702C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Mali Iđoš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spacing w:before="10"/>
              <w:rPr>
                <w:sz w:val="15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na financovanie prípravy projektovej a technickej dokumentácie pre rozšírenie školskej budovy za účelom rozšírenia kapacity učební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26"/>
              </w:rPr>
            </w:pPr>
          </w:p>
          <w:p w:rsidR="008155C7" w:rsidRDefault="0072702C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2 852 400,00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Marije Trandafil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Nový Sad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Veternik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spacing w:before="4"/>
              <w:rPr>
                <w:sz w:val="14"/>
              </w:rPr>
            </w:pPr>
          </w:p>
          <w:p w:rsidR="008155C7" w:rsidRDefault="0072702C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(koncepčného riešenia) pre rozšírenie školskej budovy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997 500,00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Duašana Jerkovića Uču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Pećinci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Šimanovci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08" w:line="288" w:lineRule="auto"/>
              <w:ind w:left="28" w:right="31"/>
              <w:rPr>
                <w:sz w:val="16"/>
              </w:rPr>
            </w:pPr>
            <w:r>
              <w:rPr>
                <w:sz w:val="16"/>
              </w:rPr>
              <w:t>na financovanie vypracovania technickej dokumentácie pre rekonštrukciu s energetickou obnovou školskej budovy vo vysunutom školskom oddelení v osade Sremski Mihaljevci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876 000,00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Slobodana Bajića Paju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Pećinci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Pećinci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9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8" w:right="180"/>
              <w:rPr>
                <w:sz w:val="16"/>
              </w:rPr>
            </w:pPr>
            <w:r>
              <w:rPr>
                <w:sz w:val="16"/>
              </w:rPr>
              <w:t>na financovanie vypracovania technickej dokumentácie pre rekonštrukciu s energetickou sanáciou budovy regionálnej školy v Ogare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360 000,00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155C7" w:rsidRDefault="00881D39">
            <w:pPr>
              <w:pStyle w:val="TableParagraph"/>
              <w:spacing w:line="288" w:lineRule="auto"/>
              <w:ind w:left="28" w:right="261"/>
              <w:rPr>
                <w:sz w:val="16"/>
              </w:rPr>
            </w:pPr>
            <w:r>
              <w:rPr>
                <w:sz w:val="16"/>
              </w:rPr>
              <w:t>Základná škola Bratstva – jednoty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Sombor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Sombor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spacing w:before="4"/>
              <w:rPr>
                <w:sz w:val="14"/>
              </w:rPr>
            </w:pPr>
          </w:p>
          <w:p w:rsidR="008155C7" w:rsidRDefault="0072702C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pre výstavbu ďalších učební pre potreby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772 400,00</w:t>
            </w:r>
          </w:p>
        </w:tc>
      </w:tr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81D39" w:rsidRDefault="0072702C" w:rsidP="00881D3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Z</w:t>
            </w:r>
            <w:r w:rsidR="00881D39">
              <w:rPr>
                <w:sz w:val="16"/>
              </w:rPr>
              <w:t>ákladná škola</w:t>
            </w:r>
            <w:r>
              <w:rPr>
                <w:sz w:val="16"/>
              </w:rPr>
              <w:t xml:space="preserve"> </w:t>
            </w:r>
          </w:p>
          <w:p w:rsidR="008155C7" w:rsidRDefault="0072702C" w:rsidP="00881D3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Petöfi Sándora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Sombor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Doroslovo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9" w:line="220" w:lineRule="atLeast"/>
              <w:ind w:left="28" w:right="160"/>
              <w:rPr>
                <w:sz w:val="16"/>
              </w:rPr>
            </w:pPr>
            <w:r>
              <w:rPr>
                <w:sz w:val="16"/>
              </w:rPr>
              <w:t>na financovanie vypracovania projektovej dokumentácie pre práce na investičnej údržbe časti školy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185 000,00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  <w:r w:rsidR="00881D39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>Kisa Ferenca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Sombor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Telečka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line="288" w:lineRule="auto"/>
              <w:ind w:left="28" w:right="117"/>
              <w:rPr>
                <w:sz w:val="16"/>
              </w:rPr>
            </w:pPr>
            <w:r>
              <w:rPr>
                <w:sz w:val="16"/>
              </w:rPr>
              <w:t xml:space="preserve">na financovanie vypracovania projektov prepojovacieho plynovodu a MRS G25 (pri KP 648 KO Telečka) pre potreby plynofikácie školských zariadení a vnútorných plynových inštalácií a </w:t>
            </w:r>
          </w:p>
          <w:p w:rsidR="008155C7" w:rsidRDefault="0072702C"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>kotolne (pri KP 648 KO Telečka)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780 000,00</w:t>
            </w:r>
          </w:p>
        </w:tc>
      </w:tr>
    </w:tbl>
    <w:p w:rsidR="008155C7" w:rsidRDefault="008155C7">
      <w:pPr>
        <w:jc w:val="right"/>
        <w:rPr>
          <w:sz w:val="16"/>
        </w:rPr>
        <w:sectPr w:rsidR="008155C7"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8155C7">
        <w:trPr>
          <w:trHeight w:val="956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24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Momčilu Tapavicu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Srbobran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Nadalj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before="19" w:line="220" w:lineRule="atLeast"/>
              <w:ind w:left="28" w:right="19"/>
              <w:rPr>
                <w:sz w:val="16"/>
              </w:rPr>
            </w:pPr>
            <w:r>
              <w:rPr>
                <w:sz w:val="16"/>
              </w:rPr>
              <w:t>na financovanie vypracovania projektovej a technickej dokumentácie pre energetickú obnovu časti školskej budovy (nové krídlo)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7"/>
              <w:rPr>
                <w:sz w:val="15"/>
              </w:rPr>
            </w:pPr>
          </w:p>
          <w:p w:rsidR="008155C7" w:rsidRDefault="0072702C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314 100,00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81D39" w:rsidRDefault="0072702C" w:rsidP="00881D39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Z</w:t>
            </w:r>
            <w:r w:rsidR="00881D39">
              <w:rPr>
                <w:sz w:val="16"/>
              </w:rPr>
              <w:t>ákladná škola</w:t>
            </w:r>
          </w:p>
          <w:p w:rsidR="008155C7" w:rsidRDefault="00881D39" w:rsidP="00881D39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Hunyadi</w:t>
            </w:r>
            <w:r w:rsidR="0072702C">
              <w:rPr>
                <w:sz w:val="16"/>
              </w:rPr>
              <w:t xml:space="preserve"> Jánosa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>Subotica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6"/>
              <w:rPr>
                <w:sz w:val="16"/>
              </w:rPr>
            </w:pPr>
            <w:r>
              <w:rPr>
                <w:sz w:val="16"/>
              </w:rPr>
              <w:t>Čantavir</w:t>
            </w:r>
          </w:p>
        </w:tc>
        <w:tc>
          <w:tcPr>
            <w:tcW w:w="2842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9"/>
              </w:rPr>
            </w:pPr>
          </w:p>
          <w:p w:rsidR="008155C7" w:rsidRDefault="0072702C">
            <w:pPr>
              <w:pStyle w:val="TableParagraph"/>
              <w:spacing w:line="288" w:lineRule="auto"/>
              <w:ind w:left="28" w:right="371"/>
              <w:rPr>
                <w:sz w:val="16"/>
              </w:rPr>
            </w:pPr>
            <w:r>
              <w:rPr>
                <w:sz w:val="16"/>
              </w:rPr>
              <w:t>na financovanie vypracovania technickej dokumentácie pre rekonštrukciu strešnej konštrukcie budovy telocvične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984 000,00</w:t>
            </w:r>
          </w:p>
        </w:tc>
      </w:tr>
      <w:tr w:rsidR="008155C7">
        <w:trPr>
          <w:trHeight w:val="1280"/>
        </w:trPr>
        <w:tc>
          <w:tcPr>
            <w:tcW w:w="1327" w:type="dxa"/>
            <w:shd w:val="clear" w:color="auto" w:fill="FFD1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826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spacing w:before="2"/>
              <w:rPr>
                <w:sz w:val="20"/>
              </w:rPr>
            </w:pPr>
          </w:p>
          <w:p w:rsidR="00881D39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Základná škola </w:t>
            </w:r>
          </w:p>
          <w:p w:rsidR="008155C7" w:rsidRDefault="0072702C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>Svetozara Miletića</w:t>
            </w:r>
          </w:p>
        </w:tc>
        <w:tc>
          <w:tcPr>
            <w:tcW w:w="1327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>Titel</w:t>
            </w:r>
          </w:p>
        </w:tc>
        <w:tc>
          <w:tcPr>
            <w:tcW w:w="1421" w:type="dxa"/>
            <w:shd w:val="clear" w:color="auto" w:fill="EBEBD1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Titel</w:t>
            </w:r>
          </w:p>
        </w:tc>
        <w:tc>
          <w:tcPr>
            <w:tcW w:w="2842" w:type="dxa"/>
            <w:shd w:val="clear" w:color="auto" w:fill="EBEBD1"/>
          </w:tcPr>
          <w:p w:rsidR="008155C7" w:rsidRDefault="0072702C">
            <w:pPr>
              <w:pStyle w:val="TableParagraph"/>
              <w:spacing w:line="288" w:lineRule="auto"/>
              <w:ind w:left="28" w:right="51"/>
              <w:rPr>
                <w:sz w:val="16"/>
              </w:rPr>
            </w:pPr>
            <w:r>
              <w:rPr>
                <w:sz w:val="16"/>
              </w:rPr>
              <w:t xml:space="preserve">na financovanie vypracovania technickej dokumentácie pre výstavbu prípojky na distribučný plynovod s MRS a vnútornými plynovými inštaláciami v objekte samostatného </w:t>
            </w:r>
          </w:p>
          <w:p w:rsidR="008155C7" w:rsidRDefault="0072702C"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>oddelenia vo Vilove</w:t>
            </w:r>
          </w:p>
        </w:tc>
        <w:tc>
          <w:tcPr>
            <w:tcW w:w="1421" w:type="dxa"/>
            <w:shd w:val="clear" w:color="auto" w:fill="AFFFD8"/>
          </w:tcPr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8155C7">
            <w:pPr>
              <w:pStyle w:val="TableParagraph"/>
              <w:rPr>
                <w:sz w:val="18"/>
              </w:rPr>
            </w:pPr>
          </w:p>
          <w:p w:rsidR="008155C7" w:rsidRDefault="0072702C">
            <w:pPr>
              <w:pStyle w:val="TableParagraph"/>
              <w:spacing w:before="13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1 188 000,00</w:t>
            </w:r>
          </w:p>
        </w:tc>
      </w:tr>
      <w:tr w:rsidR="008155C7">
        <w:trPr>
          <w:trHeight w:val="565"/>
        </w:trPr>
        <w:tc>
          <w:tcPr>
            <w:tcW w:w="1327" w:type="dxa"/>
            <w:shd w:val="clear" w:color="auto" w:fill="BABABA"/>
          </w:tcPr>
          <w:p w:rsidR="008155C7" w:rsidRDefault="008155C7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shd w:val="clear" w:color="auto" w:fill="BABABA"/>
          </w:tcPr>
          <w:p w:rsidR="008155C7" w:rsidRDefault="008155C7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shd w:val="clear" w:color="auto" w:fill="BABABA"/>
          </w:tcPr>
          <w:p w:rsidR="008155C7" w:rsidRDefault="008155C7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shd w:val="clear" w:color="auto" w:fill="BABABA"/>
          </w:tcPr>
          <w:p w:rsidR="008155C7" w:rsidRDefault="008155C7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shd w:val="clear" w:color="auto" w:fill="BABABA"/>
          </w:tcPr>
          <w:p w:rsidR="008155C7" w:rsidRDefault="008155C7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shd w:val="clear" w:color="auto" w:fill="BABABA"/>
          </w:tcPr>
          <w:p w:rsidR="008155C7" w:rsidRDefault="008155C7">
            <w:pPr>
              <w:pStyle w:val="TableParagraph"/>
              <w:spacing w:before="8"/>
              <w:rPr>
                <w:sz w:val="16"/>
              </w:rPr>
            </w:pPr>
          </w:p>
          <w:p w:rsidR="008155C7" w:rsidRDefault="0072702C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19 000 000,00</w:t>
            </w:r>
          </w:p>
        </w:tc>
      </w:tr>
    </w:tbl>
    <w:p w:rsidR="0072702C" w:rsidRDefault="0072702C"/>
    <w:sectPr w:rsidR="0072702C">
      <w:pgSz w:w="12240" w:h="15840"/>
      <w:pgMar w:top="10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55C7"/>
    <w:rsid w:val="0072702C"/>
    <w:rsid w:val="008155C7"/>
    <w:rsid w:val="00881D39"/>
    <w:rsid w:val="00B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1C0B25C"/>
  <w15:docId w15:val="{F51CA1AB-A761-43DB-889B-36EB69D4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03"/>
      <w:jc w:val="center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unz@vojvodin&#1072;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3</cp:revision>
  <dcterms:created xsi:type="dcterms:W3CDTF">2025-06-10T07:32:00Z</dcterms:created>
  <dcterms:modified xsi:type="dcterms:W3CDTF">2025-06-10T11:58:00Z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2025-06-10T00:00:00Z</vt:filetime>
  </property>
</Properties>
</file>